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2C2A799B" w:rsidR="003D08D9" w:rsidRDefault="007F7454" w:rsidP="003D08D9">
      <w:r w:rsidRPr="007F7454">
        <w:rPr>
          <w:b/>
          <w:bCs/>
        </w:rPr>
        <w:t xml:space="preserve">Reference </w:t>
      </w:r>
      <w:r w:rsidR="008C4303" w:rsidRPr="008B49A1">
        <w:t xml:space="preserve">– </w:t>
      </w:r>
      <w:r w:rsidR="00133068">
        <w:t xml:space="preserve">BCFT </w:t>
      </w:r>
      <w:r w:rsidR="00694CB7" w:rsidRPr="00694CB7">
        <w:t>Review of Fixed Term Contracts </w:t>
      </w:r>
      <w:r w:rsidR="005912A8" w:rsidRPr="00133068">
        <w:rPr>
          <w:rFonts w:ascii="Arial" w:hAnsi="Arial" w:cs="Arial"/>
        </w:rPr>
        <w:t>–</w:t>
      </w:r>
      <w:r w:rsidR="00BA7A81">
        <w:t xml:space="preserve"> 2026-27</w:t>
      </w:r>
    </w:p>
    <w:p w14:paraId="5CC9AD43" w14:textId="06F2062B" w:rsidR="00694CB7" w:rsidRPr="00694CB7" w:rsidRDefault="00694CB7" w:rsidP="00694CB7"/>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3441"/>
        <w:gridCol w:w="1856"/>
        <w:gridCol w:w="1718"/>
      </w:tblGrid>
      <w:tr w:rsidR="00694CB7" w:rsidRPr="00694CB7" w14:paraId="504260A8" w14:textId="77777777" w:rsidTr="00694CB7">
        <w:trPr>
          <w:trHeight w:val="300"/>
        </w:trPr>
        <w:tc>
          <w:tcPr>
            <w:tcW w:w="1980" w:type="dxa"/>
            <w:tcBorders>
              <w:top w:val="single" w:sz="6" w:space="0" w:color="auto"/>
              <w:left w:val="single" w:sz="6" w:space="0" w:color="auto"/>
              <w:bottom w:val="single" w:sz="6" w:space="0" w:color="auto"/>
              <w:right w:val="single" w:sz="6" w:space="0" w:color="auto"/>
            </w:tcBorders>
            <w:hideMark/>
          </w:tcPr>
          <w:p w14:paraId="4008CF89" w14:textId="77777777" w:rsidR="00694CB7" w:rsidRPr="00694CB7" w:rsidRDefault="00694CB7" w:rsidP="00694CB7">
            <w:r w:rsidRPr="00694CB7">
              <w:rPr>
                <w:b/>
                <w:bCs/>
              </w:rPr>
              <w:t>Department</w:t>
            </w:r>
            <w:r w:rsidRPr="00694CB7">
              <w:t> </w:t>
            </w:r>
          </w:p>
        </w:tc>
        <w:tc>
          <w:tcPr>
            <w:tcW w:w="3780" w:type="dxa"/>
            <w:tcBorders>
              <w:top w:val="single" w:sz="6" w:space="0" w:color="auto"/>
              <w:left w:val="single" w:sz="6" w:space="0" w:color="auto"/>
              <w:bottom w:val="single" w:sz="6" w:space="0" w:color="auto"/>
              <w:right w:val="single" w:sz="6" w:space="0" w:color="auto"/>
            </w:tcBorders>
            <w:hideMark/>
          </w:tcPr>
          <w:p w14:paraId="2D0E9FB3" w14:textId="77777777" w:rsidR="00694CB7" w:rsidRPr="00694CB7" w:rsidRDefault="00694CB7" w:rsidP="00694CB7">
            <w:r w:rsidRPr="00694CB7">
              <w:t>People and Talent  </w:t>
            </w:r>
          </w:p>
        </w:tc>
        <w:tc>
          <w:tcPr>
            <w:tcW w:w="1980" w:type="dxa"/>
            <w:tcBorders>
              <w:top w:val="single" w:sz="6" w:space="0" w:color="auto"/>
              <w:left w:val="single" w:sz="6" w:space="0" w:color="auto"/>
              <w:bottom w:val="single" w:sz="6" w:space="0" w:color="auto"/>
              <w:right w:val="single" w:sz="6" w:space="0" w:color="auto"/>
            </w:tcBorders>
            <w:hideMark/>
          </w:tcPr>
          <w:p w14:paraId="25116335" w14:textId="77777777" w:rsidR="00694CB7" w:rsidRPr="00694CB7" w:rsidRDefault="00694CB7" w:rsidP="00694CB7">
            <w:r w:rsidRPr="00694CB7">
              <w:rPr>
                <w:b/>
                <w:bCs/>
              </w:rPr>
              <w:t>Version no</w:t>
            </w:r>
            <w:r w:rsidRPr="00694CB7">
              <w:t> </w:t>
            </w:r>
          </w:p>
        </w:tc>
        <w:tc>
          <w:tcPr>
            <w:tcW w:w="1800" w:type="dxa"/>
            <w:tcBorders>
              <w:top w:val="single" w:sz="6" w:space="0" w:color="auto"/>
              <w:left w:val="single" w:sz="6" w:space="0" w:color="auto"/>
              <w:bottom w:val="single" w:sz="6" w:space="0" w:color="auto"/>
              <w:right w:val="single" w:sz="6" w:space="0" w:color="auto"/>
            </w:tcBorders>
            <w:hideMark/>
          </w:tcPr>
          <w:p w14:paraId="27179F2E" w14:textId="77777777" w:rsidR="00694CB7" w:rsidRPr="00694CB7" w:rsidRDefault="00694CB7" w:rsidP="00694CB7">
            <w:r w:rsidRPr="00694CB7">
              <w:t> </w:t>
            </w:r>
          </w:p>
        </w:tc>
      </w:tr>
      <w:tr w:rsidR="00694CB7" w:rsidRPr="00694CB7" w14:paraId="358AB49D" w14:textId="77777777" w:rsidTr="00694CB7">
        <w:trPr>
          <w:trHeight w:val="300"/>
        </w:trPr>
        <w:tc>
          <w:tcPr>
            <w:tcW w:w="1980" w:type="dxa"/>
            <w:tcBorders>
              <w:top w:val="single" w:sz="6" w:space="0" w:color="auto"/>
              <w:left w:val="single" w:sz="6" w:space="0" w:color="auto"/>
              <w:bottom w:val="single" w:sz="6" w:space="0" w:color="auto"/>
              <w:right w:val="single" w:sz="6" w:space="0" w:color="auto"/>
            </w:tcBorders>
            <w:hideMark/>
          </w:tcPr>
          <w:p w14:paraId="1D82E8AC" w14:textId="77777777" w:rsidR="00694CB7" w:rsidRPr="00694CB7" w:rsidRDefault="00694CB7" w:rsidP="00694CB7">
            <w:r w:rsidRPr="00694CB7">
              <w:rPr>
                <w:b/>
                <w:bCs/>
              </w:rPr>
              <w:t>Assessed by</w:t>
            </w:r>
            <w:r w:rsidRPr="00694CB7">
              <w:t> </w:t>
            </w:r>
          </w:p>
        </w:tc>
        <w:tc>
          <w:tcPr>
            <w:tcW w:w="3780" w:type="dxa"/>
            <w:tcBorders>
              <w:top w:val="single" w:sz="6" w:space="0" w:color="auto"/>
              <w:left w:val="single" w:sz="6" w:space="0" w:color="auto"/>
              <w:bottom w:val="single" w:sz="6" w:space="0" w:color="auto"/>
              <w:right w:val="single" w:sz="6" w:space="0" w:color="auto"/>
            </w:tcBorders>
            <w:hideMark/>
          </w:tcPr>
          <w:p w14:paraId="4224C794" w14:textId="77777777" w:rsidR="00694CB7" w:rsidRPr="00694CB7" w:rsidRDefault="00694CB7" w:rsidP="00694CB7">
            <w:r w:rsidRPr="00694CB7">
              <w:t>Dale Hipperson  </w:t>
            </w:r>
          </w:p>
        </w:tc>
        <w:tc>
          <w:tcPr>
            <w:tcW w:w="1980" w:type="dxa"/>
            <w:tcBorders>
              <w:top w:val="single" w:sz="6" w:space="0" w:color="auto"/>
              <w:left w:val="single" w:sz="6" w:space="0" w:color="auto"/>
              <w:bottom w:val="single" w:sz="6" w:space="0" w:color="auto"/>
              <w:right w:val="single" w:sz="6" w:space="0" w:color="auto"/>
            </w:tcBorders>
            <w:hideMark/>
          </w:tcPr>
          <w:p w14:paraId="18096258" w14:textId="77777777" w:rsidR="00694CB7" w:rsidRPr="00694CB7" w:rsidRDefault="00694CB7" w:rsidP="00694CB7">
            <w:r w:rsidRPr="00694CB7">
              <w:rPr>
                <w:b/>
                <w:bCs/>
              </w:rPr>
              <w:t>Date created</w:t>
            </w:r>
            <w:r w:rsidRPr="00694CB7">
              <w:t> </w:t>
            </w:r>
          </w:p>
        </w:tc>
        <w:tc>
          <w:tcPr>
            <w:tcW w:w="1800" w:type="dxa"/>
            <w:tcBorders>
              <w:top w:val="single" w:sz="6" w:space="0" w:color="auto"/>
              <w:left w:val="single" w:sz="6" w:space="0" w:color="auto"/>
              <w:bottom w:val="single" w:sz="6" w:space="0" w:color="auto"/>
              <w:right w:val="single" w:sz="6" w:space="0" w:color="auto"/>
            </w:tcBorders>
            <w:hideMark/>
          </w:tcPr>
          <w:p w14:paraId="3B0E7AD3" w14:textId="77777777" w:rsidR="00694CB7" w:rsidRPr="00694CB7" w:rsidRDefault="00694CB7" w:rsidP="00694CB7">
            <w:r w:rsidRPr="00694CB7">
              <w:t>29.9.25 </w:t>
            </w:r>
          </w:p>
        </w:tc>
      </w:tr>
      <w:tr w:rsidR="00694CB7" w:rsidRPr="00694CB7" w14:paraId="668DA2F8" w14:textId="77777777" w:rsidTr="00694CB7">
        <w:trPr>
          <w:trHeight w:val="300"/>
        </w:trPr>
        <w:tc>
          <w:tcPr>
            <w:tcW w:w="1980" w:type="dxa"/>
            <w:tcBorders>
              <w:top w:val="single" w:sz="6" w:space="0" w:color="auto"/>
              <w:left w:val="single" w:sz="6" w:space="0" w:color="auto"/>
              <w:bottom w:val="single" w:sz="6" w:space="0" w:color="auto"/>
              <w:right w:val="single" w:sz="6" w:space="0" w:color="auto"/>
            </w:tcBorders>
            <w:hideMark/>
          </w:tcPr>
          <w:p w14:paraId="253FBB36" w14:textId="77777777" w:rsidR="00694CB7" w:rsidRPr="00694CB7" w:rsidRDefault="00694CB7" w:rsidP="00694CB7">
            <w:r w:rsidRPr="00694CB7">
              <w:rPr>
                <w:b/>
                <w:bCs/>
              </w:rPr>
              <w:t>Approved by</w:t>
            </w:r>
            <w:r w:rsidRPr="00694CB7">
              <w:t> </w:t>
            </w:r>
          </w:p>
        </w:tc>
        <w:tc>
          <w:tcPr>
            <w:tcW w:w="3780" w:type="dxa"/>
            <w:tcBorders>
              <w:top w:val="single" w:sz="6" w:space="0" w:color="auto"/>
              <w:left w:val="single" w:sz="6" w:space="0" w:color="auto"/>
              <w:bottom w:val="single" w:sz="6" w:space="0" w:color="auto"/>
              <w:right w:val="single" w:sz="6" w:space="0" w:color="auto"/>
            </w:tcBorders>
            <w:hideMark/>
          </w:tcPr>
          <w:p w14:paraId="18FDC7BC" w14:textId="77777777" w:rsidR="00694CB7" w:rsidRPr="00694CB7" w:rsidRDefault="00694CB7" w:rsidP="00694CB7">
            <w:r w:rsidRPr="00694CB7">
              <w:t> </w:t>
            </w:r>
          </w:p>
        </w:tc>
        <w:tc>
          <w:tcPr>
            <w:tcW w:w="1980" w:type="dxa"/>
            <w:tcBorders>
              <w:top w:val="single" w:sz="6" w:space="0" w:color="auto"/>
              <w:left w:val="single" w:sz="6" w:space="0" w:color="auto"/>
              <w:bottom w:val="single" w:sz="6" w:space="0" w:color="auto"/>
              <w:right w:val="single" w:sz="6" w:space="0" w:color="auto"/>
            </w:tcBorders>
            <w:hideMark/>
          </w:tcPr>
          <w:p w14:paraId="5AE424DA" w14:textId="77777777" w:rsidR="00694CB7" w:rsidRPr="00694CB7" w:rsidRDefault="00694CB7" w:rsidP="00694CB7">
            <w:r w:rsidRPr="00694CB7">
              <w:rPr>
                <w:b/>
                <w:bCs/>
              </w:rPr>
              <w:t>Date approved</w:t>
            </w:r>
            <w:r w:rsidRPr="00694CB7">
              <w:t> </w:t>
            </w:r>
          </w:p>
        </w:tc>
        <w:tc>
          <w:tcPr>
            <w:tcW w:w="1800" w:type="dxa"/>
            <w:tcBorders>
              <w:top w:val="single" w:sz="6" w:space="0" w:color="auto"/>
              <w:left w:val="single" w:sz="6" w:space="0" w:color="auto"/>
              <w:bottom w:val="single" w:sz="6" w:space="0" w:color="auto"/>
              <w:right w:val="single" w:sz="6" w:space="0" w:color="auto"/>
            </w:tcBorders>
            <w:hideMark/>
          </w:tcPr>
          <w:p w14:paraId="7D66A9D1" w14:textId="77777777" w:rsidR="00694CB7" w:rsidRPr="00694CB7" w:rsidRDefault="00694CB7" w:rsidP="00694CB7">
            <w:r w:rsidRPr="00694CB7">
              <w:t> </w:t>
            </w:r>
          </w:p>
        </w:tc>
      </w:tr>
      <w:tr w:rsidR="00694CB7" w:rsidRPr="00694CB7" w14:paraId="34461B76" w14:textId="77777777" w:rsidTr="00694CB7">
        <w:trPr>
          <w:trHeight w:val="300"/>
        </w:trPr>
        <w:tc>
          <w:tcPr>
            <w:tcW w:w="1980" w:type="dxa"/>
            <w:tcBorders>
              <w:top w:val="single" w:sz="6" w:space="0" w:color="auto"/>
              <w:left w:val="single" w:sz="6" w:space="0" w:color="auto"/>
              <w:bottom w:val="single" w:sz="6" w:space="0" w:color="auto"/>
              <w:right w:val="single" w:sz="6" w:space="0" w:color="auto"/>
            </w:tcBorders>
            <w:hideMark/>
          </w:tcPr>
          <w:p w14:paraId="62B20199" w14:textId="77777777" w:rsidR="00694CB7" w:rsidRPr="00694CB7" w:rsidRDefault="00694CB7" w:rsidP="00694CB7">
            <w:r w:rsidRPr="00694CB7">
              <w:rPr>
                <w:b/>
                <w:bCs/>
              </w:rPr>
              <w:t>Updated by</w:t>
            </w:r>
            <w:r w:rsidRPr="00694CB7">
              <w:t> </w:t>
            </w:r>
          </w:p>
        </w:tc>
        <w:tc>
          <w:tcPr>
            <w:tcW w:w="3780" w:type="dxa"/>
            <w:tcBorders>
              <w:top w:val="single" w:sz="6" w:space="0" w:color="auto"/>
              <w:left w:val="single" w:sz="6" w:space="0" w:color="auto"/>
              <w:bottom w:val="single" w:sz="6" w:space="0" w:color="auto"/>
              <w:right w:val="single" w:sz="6" w:space="0" w:color="auto"/>
            </w:tcBorders>
            <w:hideMark/>
          </w:tcPr>
          <w:p w14:paraId="61F42DEF" w14:textId="77777777" w:rsidR="00694CB7" w:rsidRPr="00694CB7" w:rsidRDefault="00694CB7" w:rsidP="00694CB7">
            <w:r w:rsidRPr="00694CB7">
              <w:t>Vicky Smith </w:t>
            </w:r>
          </w:p>
        </w:tc>
        <w:tc>
          <w:tcPr>
            <w:tcW w:w="1980" w:type="dxa"/>
            <w:tcBorders>
              <w:top w:val="single" w:sz="6" w:space="0" w:color="auto"/>
              <w:left w:val="single" w:sz="6" w:space="0" w:color="auto"/>
              <w:bottom w:val="single" w:sz="6" w:space="0" w:color="auto"/>
              <w:right w:val="single" w:sz="6" w:space="0" w:color="auto"/>
            </w:tcBorders>
            <w:hideMark/>
          </w:tcPr>
          <w:p w14:paraId="6F93247B" w14:textId="77777777" w:rsidR="00694CB7" w:rsidRPr="00694CB7" w:rsidRDefault="00694CB7" w:rsidP="00694CB7">
            <w:r w:rsidRPr="00694CB7">
              <w:rPr>
                <w:b/>
                <w:bCs/>
              </w:rPr>
              <w:t>Date updated</w:t>
            </w:r>
            <w:r w:rsidRPr="00694CB7">
              <w:t> </w:t>
            </w:r>
          </w:p>
        </w:tc>
        <w:tc>
          <w:tcPr>
            <w:tcW w:w="1800" w:type="dxa"/>
            <w:tcBorders>
              <w:top w:val="single" w:sz="6" w:space="0" w:color="auto"/>
              <w:left w:val="single" w:sz="6" w:space="0" w:color="auto"/>
              <w:bottom w:val="single" w:sz="6" w:space="0" w:color="auto"/>
              <w:right w:val="single" w:sz="6" w:space="0" w:color="auto"/>
            </w:tcBorders>
            <w:hideMark/>
          </w:tcPr>
          <w:p w14:paraId="7AEB69C8" w14:textId="77777777" w:rsidR="00694CB7" w:rsidRPr="00694CB7" w:rsidRDefault="00694CB7" w:rsidP="00694CB7">
            <w:r w:rsidRPr="00694CB7">
              <w:t>22/10/2025 </w:t>
            </w:r>
          </w:p>
        </w:tc>
      </w:tr>
      <w:tr w:rsidR="00694CB7" w:rsidRPr="00694CB7" w14:paraId="63512FFE" w14:textId="77777777" w:rsidTr="00694CB7">
        <w:trPr>
          <w:trHeight w:val="300"/>
        </w:trPr>
        <w:tc>
          <w:tcPr>
            <w:tcW w:w="1980" w:type="dxa"/>
            <w:tcBorders>
              <w:top w:val="single" w:sz="6" w:space="0" w:color="auto"/>
              <w:left w:val="single" w:sz="6" w:space="0" w:color="auto"/>
              <w:bottom w:val="single" w:sz="6" w:space="0" w:color="auto"/>
              <w:right w:val="single" w:sz="6" w:space="0" w:color="auto"/>
            </w:tcBorders>
            <w:hideMark/>
          </w:tcPr>
          <w:p w14:paraId="009856D0" w14:textId="77777777" w:rsidR="00694CB7" w:rsidRPr="00694CB7" w:rsidRDefault="00694CB7" w:rsidP="00694CB7">
            <w:r w:rsidRPr="00694CB7">
              <w:rPr>
                <w:b/>
                <w:bCs/>
              </w:rPr>
              <w:t>Final approval</w:t>
            </w:r>
            <w:r w:rsidRPr="00694CB7">
              <w:t> </w:t>
            </w:r>
          </w:p>
        </w:tc>
        <w:tc>
          <w:tcPr>
            <w:tcW w:w="3780" w:type="dxa"/>
            <w:tcBorders>
              <w:top w:val="single" w:sz="6" w:space="0" w:color="auto"/>
              <w:left w:val="single" w:sz="6" w:space="0" w:color="auto"/>
              <w:bottom w:val="single" w:sz="6" w:space="0" w:color="auto"/>
              <w:right w:val="single" w:sz="6" w:space="0" w:color="auto"/>
            </w:tcBorders>
            <w:hideMark/>
          </w:tcPr>
          <w:p w14:paraId="6F470DFA" w14:textId="77777777" w:rsidR="00694CB7" w:rsidRPr="00694CB7" w:rsidRDefault="00694CB7" w:rsidP="00694CB7">
            <w:r w:rsidRPr="00694CB7">
              <w:t>Dale Hipperson </w:t>
            </w:r>
          </w:p>
        </w:tc>
        <w:tc>
          <w:tcPr>
            <w:tcW w:w="1980" w:type="dxa"/>
            <w:tcBorders>
              <w:top w:val="single" w:sz="6" w:space="0" w:color="auto"/>
              <w:left w:val="single" w:sz="6" w:space="0" w:color="auto"/>
              <w:bottom w:val="single" w:sz="6" w:space="0" w:color="auto"/>
              <w:right w:val="single" w:sz="6" w:space="0" w:color="auto"/>
            </w:tcBorders>
            <w:hideMark/>
          </w:tcPr>
          <w:p w14:paraId="13F0144E" w14:textId="77777777" w:rsidR="00694CB7" w:rsidRPr="00694CB7" w:rsidRDefault="00694CB7" w:rsidP="00694CB7">
            <w:r w:rsidRPr="00694CB7">
              <w:rPr>
                <w:b/>
                <w:bCs/>
              </w:rPr>
              <w:t>Date signed off</w:t>
            </w:r>
            <w:r w:rsidRPr="00694CB7">
              <w:t> </w:t>
            </w:r>
          </w:p>
        </w:tc>
        <w:tc>
          <w:tcPr>
            <w:tcW w:w="1800" w:type="dxa"/>
            <w:tcBorders>
              <w:top w:val="single" w:sz="6" w:space="0" w:color="auto"/>
              <w:left w:val="single" w:sz="6" w:space="0" w:color="auto"/>
              <w:bottom w:val="single" w:sz="6" w:space="0" w:color="auto"/>
              <w:right w:val="single" w:sz="6" w:space="0" w:color="auto"/>
            </w:tcBorders>
            <w:hideMark/>
          </w:tcPr>
          <w:p w14:paraId="7C47A350" w14:textId="77777777" w:rsidR="00694CB7" w:rsidRPr="00694CB7" w:rsidRDefault="00694CB7" w:rsidP="00694CB7">
            <w:r w:rsidRPr="00694CB7">
              <w:t>22/10/2025 </w:t>
            </w:r>
          </w:p>
        </w:tc>
      </w:tr>
    </w:tbl>
    <w:p w14:paraId="3CAB0DE6" w14:textId="77777777" w:rsidR="00694CB7" w:rsidRPr="00694CB7" w:rsidRDefault="00694CB7" w:rsidP="00694CB7">
      <w:r w:rsidRPr="00694CB7">
        <w:t> </w:t>
      </w:r>
    </w:p>
    <w:p w14:paraId="0940F63E" w14:textId="30A1A55E" w:rsidR="00694CB7" w:rsidRPr="00694CB7" w:rsidRDefault="00694CB7" w:rsidP="00694CB7">
      <w:r w:rsidRPr="00694CB7">
        <w:drawing>
          <wp:inline distT="0" distB="0" distL="0" distR="0" wp14:anchorId="6225BCD2" wp14:editId="477362C9">
            <wp:extent cx="5731510" cy="44450"/>
            <wp:effectExtent l="0" t="0" r="2540" b="0"/>
            <wp:docPr id="6066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694CB7">
        <w:t> </w:t>
      </w:r>
    </w:p>
    <w:p w14:paraId="1C335928" w14:textId="77777777" w:rsidR="00694CB7" w:rsidRPr="00694CB7" w:rsidRDefault="00694CB7" w:rsidP="00694CB7">
      <w:pPr>
        <w:rPr>
          <w:b/>
          <w:bCs/>
        </w:rPr>
      </w:pPr>
      <w:r w:rsidRPr="00694CB7">
        <w:rPr>
          <w:b/>
          <w:bCs/>
        </w:rPr>
        <w:t>Section 1: What is being assessed? </w:t>
      </w:r>
    </w:p>
    <w:p w14:paraId="2AA01108" w14:textId="0DE35D71" w:rsidR="00694CB7" w:rsidRPr="00694CB7" w:rsidRDefault="00694CB7" w:rsidP="00694CB7">
      <w:r w:rsidRPr="00694CB7">
        <w:t>  </w:t>
      </w:r>
    </w:p>
    <w:p w14:paraId="59BA1FF8" w14:textId="77777777" w:rsidR="00694CB7" w:rsidRPr="00694CB7" w:rsidRDefault="00694CB7" w:rsidP="00694CB7">
      <w:r w:rsidRPr="00694CB7">
        <w:rPr>
          <w:b/>
          <w:bCs/>
        </w:rPr>
        <w:t>1.1</w:t>
      </w:r>
      <w:r w:rsidRPr="00694CB7">
        <w:tab/>
      </w:r>
      <w:r w:rsidRPr="00694CB7">
        <w:rPr>
          <w:b/>
          <w:bCs/>
        </w:rPr>
        <w:t>Name of proposal to be assessed.</w:t>
      </w:r>
      <w:r w:rsidRPr="00694CB7">
        <w:t> </w:t>
      </w:r>
    </w:p>
    <w:p w14:paraId="5469528C" w14:textId="77777777" w:rsidR="00694CB7" w:rsidRPr="00694CB7" w:rsidRDefault="00694CB7" w:rsidP="00694CB7">
      <w:r w:rsidRPr="00694CB7">
        <w:t> </w:t>
      </w:r>
    </w:p>
    <w:p w14:paraId="67909C73" w14:textId="77777777" w:rsidR="00694CB7" w:rsidRPr="00694CB7" w:rsidRDefault="00694CB7" w:rsidP="00694CB7">
      <w:r w:rsidRPr="00694CB7">
        <w:t>Review of Fixed Term Contracts  </w:t>
      </w:r>
    </w:p>
    <w:p w14:paraId="31CECE95" w14:textId="77777777" w:rsidR="00694CB7" w:rsidRPr="00694CB7" w:rsidRDefault="00694CB7" w:rsidP="00694CB7">
      <w:r w:rsidRPr="00694CB7">
        <w:t> </w:t>
      </w:r>
    </w:p>
    <w:p w14:paraId="65D7E5B2" w14:textId="77777777" w:rsidR="00694CB7" w:rsidRPr="00694CB7" w:rsidRDefault="00694CB7" w:rsidP="00694CB7">
      <w:r w:rsidRPr="00694CB7">
        <w:rPr>
          <w:b/>
          <w:bCs/>
        </w:rPr>
        <w:t>1.2</w:t>
      </w:r>
      <w:r w:rsidRPr="00694CB7">
        <w:tab/>
      </w:r>
      <w:r w:rsidRPr="00694CB7">
        <w:rPr>
          <w:b/>
          <w:bCs/>
        </w:rPr>
        <w:t>Describe the proposal under assessment and what change it would result in if implemented.</w:t>
      </w:r>
      <w:r w:rsidRPr="00694CB7">
        <w:t> </w:t>
      </w:r>
    </w:p>
    <w:p w14:paraId="2693C704" w14:textId="77777777" w:rsidR="00694CB7" w:rsidRPr="00694CB7" w:rsidRDefault="00694CB7" w:rsidP="00694CB7">
      <w:r w:rsidRPr="00694CB7">
        <w:t> </w:t>
      </w:r>
    </w:p>
    <w:p w14:paraId="0E46A6C5" w14:textId="77777777" w:rsidR="00694CB7" w:rsidRPr="00694CB7" w:rsidRDefault="00694CB7" w:rsidP="00694CB7">
      <w:r w:rsidRPr="00694CB7">
        <w:t> </w:t>
      </w:r>
    </w:p>
    <w:p w14:paraId="47787D87" w14:textId="77777777" w:rsidR="00694CB7" w:rsidRPr="00694CB7" w:rsidRDefault="00694CB7" w:rsidP="00694CB7">
      <w:r w:rsidRPr="00694CB7">
        <w:t xml:space="preserve">The proposal is to </w:t>
      </w:r>
      <w:r w:rsidRPr="00694CB7">
        <w:rPr>
          <w:b/>
          <w:bCs/>
        </w:rPr>
        <w:t>stop extending fixed-term job contracts</w:t>
      </w:r>
      <w:r w:rsidRPr="00694CB7">
        <w:t xml:space="preserve"> for certain staff working at Bradford Children and Families Trust (BCFT). These contracts were originally meant to be temporary, and the Trust now plans to let them end when they are due, instead of renewing them. </w:t>
      </w:r>
    </w:p>
    <w:p w14:paraId="74747317" w14:textId="77777777" w:rsidR="00694CB7" w:rsidRPr="00694CB7" w:rsidRDefault="00694CB7" w:rsidP="00694CB7">
      <w:r w:rsidRPr="00694CB7">
        <w:t> </w:t>
      </w:r>
    </w:p>
    <w:p w14:paraId="32702B66" w14:textId="77777777" w:rsidR="00694CB7" w:rsidRPr="00694CB7" w:rsidRDefault="00694CB7" w:rsidP="00694CB7">
      <w:r w:rsidRPr="00694CB7">
        <w:t>The Trust is under pressure to save money and manage its budget more carefully. Many of the temporary roles were created to deal with short-term needs, like special projects or extra workloads. However, some of these roles have continued longer than planned, which is not sustainable. </w:t>
      </w:r>
    </w:p>
    <w:p w14:paraId="143DAD37" w14:textId="77777777" w:rsidR="00694CB7" w:rsidRPr="00694CB7" w:rsidRDefault="00694CB7" w:rsidP="00694CB7">
      <w:r w:rsidRPr="00694CB7">
        <w:t>By reviewing and ending these contracts where possible, the Trust aims to: </w:t>
      </w:r>
    </w:p>
    <w:p w14:paraId="1D2AE38F" w14:textId="77777777" w:rsidR="00694CB7" w:rsidRPr="00694CB7" w:rsidRDefault="00694CB7" w:rsidP="00694CB7">
      <w:pPr>
        <w:numPr>
          <w:ilvl w:val="0"/>
          <w:numId w:val="30"/>
        </w:numPr>
      </w:pPr>
      <w:r w:rsidRPr="00694CB7">
        <w:t xml:space="preserve">Save around </w:t>
      </w:r>
      <w:r w:rsidRPr="00694CB7">
        <w:rPr>
          <w:b/>
          <w:bCs/>
        </w:rPr>
        <w:t>£133,000 per year.</w:t>
      </w:r>
      <w:r w:rsidRPr="00694CB7">
        <w:t> </w:t>
      </w:r>
    </w:p>
    <w:p w14:paraId="1168B0DB" w14:textId="77777777" w:rsidR="00694CB7" w:rsidRPr="00694CB7" w:rsidRDefault="00694CB7" w:rsidP="00694CB7">
      <w:pPr>
        <w:numPr>
          <w:ilvl w:val="0"/>
          <w:numId w:val="31"/>
        </w:numPr>
      </w:pPr>
      <w:r w:rsidRPr="00694CB7">
        <w:t>Reduce reliance on temporary staff. </w:t>
      </w:r>
    </w:p>
    <w:p w14:paraId="7855751B" w14:textId="77777777" w:rsidR="00694CB7" w:rsidRPr="00694CB7" w:rsidRDefault="00694CB7" w:rsidP="00694CB7">
      <w:pPr>
        <w:numPr>
          <w:ilvl w:val="0"/>
          <w:numId w:val="32"/>
        </w:numPr>
      </w:pPr>
      <w:r w:rsidRPr="00694CB7">
        <w:t>Encourage better long-term workforce planning. </w:t>
      </w:r>
    </w:p>
    <w:p w14:paraId="55527FE8" w14:textId="0046556B" w:rsidR="00694CB7" w:rsidRPr="00694CB7" w:rsidRDefault="00694CB7" w:rsidP="00694CB7">
      <w:r w:rsidRPr="00694CB7">
        <w:lastRenderedPageBreak/>
        <w:t> If the proposal is approved and implemented: </w:t>
      </w:r>
    </w:p>
    <w:p w14:paraId="5901BCD9" w14:textId="77777777" w:rsidR="00694CB7" w:rsidRPr="00694CB7" w:rsidRDefault="00694CB7" w:rsidP="00694CB7">
      <w:pPr>
        <w:numPr>
          <w:ilvl w:val="0"/>
          <w:numId w:val="33"/>
        </w:numPr>
      </w:pPr>
      <w:r w:rsidRPr="00694CB7">
        <w:rPr>
          <w:b/>
          <w:bCs/>
        </w:rPr>
        <w:t>Thirty-five staff members</w:t>
      </w:r>
      <w:r w:rsidRPr="00694CB7">
        <w:t xml:space="preserve"> on fixed-term contracts could be affected. </w:t>
      </w:r>
    </w:p>
    <w:p w14:paraId="32B6C6C5" w14:textId="77777777" w:rsidR="00694CB7" w:rsidRPr="00694CB7" w:rsidRDefault="00694CB7" w:rsidP="00694CB7">
      <w:pPr>
        <w:numPr>
          <w:ilvl w:val="0"/>
          <w:numId w:val="34"/>
        </w:numPr>
      </w:pPr>
      <w:r w:rsidRPr="00694CB7">
        <w:t>These contracts will be reviewed 3 months before they are due to end. </w:t>
      </w:r>
    </w:p>
    <w:p w14:paraId="28F449A9" w14:textId="77777777" w:rsidR="00694CB7" w:rsidRPr="00694CB7" w:rsidRDefault="00694CB7" w:rsidP="00694CB7">
      <w:pPr>
        <w:numPr>
          <w:ilvl w:val="0"/>
          <w:numId w:val="35"/>
        </w:numPr>
      </w:pPr>
      <w:r w:rsidRPr="00694CB7">
        <w:t>If the work is no longer needed or can be done differently, the contract will not be renewed. </w:t>
      </w:r>
    </w:p>
    <w:p w14:paraId="3EBAA6EB" w14:textId="77777777" w:rsidR="00694CB7" w:rsidRPr="00694CB7" w:rsidRDefault="00694CB7" w:rsidP="00694CB7">
      <w:pPr>
        <w:numPr>
          <w:ilvl w:val="0"/>
          <w:numId w:val="36"/>
        </w:numPr>
      </w:pPr>
      <w:r w:rsidRPr="00694CB7">
        <w:t>Some staff may be offered redeployment (a different role), but others may leave the organisation. </w:t>
      </w:r>
    </w:p>
    <w:p w14:paraId="19A26D00" w14:textId="77777777" w:rsidR="00694CB7" w:rsidRPr="00694CB7" w:rsidRDefault="00694CB7" w:rsidP="00694CB7">
      <w:r w:rsidRPr="00694CB7">
        <w:t>The changes are mainly aimed at managers and teams who currently employ fixed-term staff, and the staff themselves, who may be impacted by the decision not to renew their contracts. </w:t>
      </w:r>
    </w:p>
    <w:p w14:paraId="073C547F" w14:textId="77777777" w:rsidR="00694CB7" w:rsidRPr="00694CB7" w:rsidRDefault="00694CB7" w:rsidP="00694CB7">
      <w:r w:rsidRPr="00694CB7">
        <w:t> </w:t>
      </w:r>
    </w:p>
    <w:p w14:paraId="30824828" w14:textId="77777777" w:rsidR="00694CB7" w:rsidRPr="00694CB7" w:rsidRDefault="00694CB7" w:rsidP="00694CB7">
      <w:r w:rsidRPr="00694CB7">
        <w:t>This business case proposes reviewing all fixed-term contracts (FTCs) within Bradford Children and Families Trust as they approach their planned end dates, with a view to, wherever possible, allowing natural expiry and not extending or replacing them. These FTC roles were introduced to meet temporary service needs and are now subject to a value-for-money review. </w:t>
      </w:r>
    </w:p>
    <w:p w14:paraId="1116ECF8" w14:textId="77777777" w:rsidR="00694CB7" w:rsidRPr="00694CB7" w:rsidRDefault="00694CB7" w:rsidP="00694CB7">
      <w:r w:rsidRPr="00694CB7">
        <w:t>Strategic Aims and EDI Priorities: </w:t>
      </w:r>
    </w:p>
    <w:p w14:paraId="378D8FAE" w14:textId="77777777" w:rsidR="00694CB7" w:rsidRPr="00694CB7" w:rsidRDefault="00694CB7" w:rsidP="00694CB7">
      <w:r w:rsidRPr="00694CB7">
        <w:t> </w:t>
      </w:r>
    </w:p>
    <w:p w14:paraId="4CCDD8C8" w14:textId="77777777" w:rsidR="00694CB7" w:rsidRPr="00694CB7" w:rsidRDefault="00694CB7" w:rsidP="00694CB7">
      <w:r w:rsidRPr="00694CB7">
        <w:t>The Trust is committed to maintaining inclusive, high-quality services for children and families in Bradford. Strategic EDI priorities include: </w:t>
      </w:r>
    </w:p>
    <w:p w14:paraId="100250F1" w14:textId="77777777" w:rsidR="00694CB7" w:rsidRPr="00694CB7" w:rsidRDefault="00694CB7" w:rsidP="00694CB7">
      <w:pPr>
        <w:numPr>
          <w:ilvl w:val="0"/>
          <w:numId w:val="37"/>
        </w:numPr>
      </w:pPr>
      <w:r w:rsidRPr="00694CB7">
        <w:t>Supporting a diverse workforce reflective of the community it serves. </w:t>
      </w:r>
    </w:p>
    <w:p w14:paraId="43E7F0B0" w14:textId="77777777" w:rsidR="00694CB7" w:rsidRPr="00694CB7" w:rsidRDefault="00694CB7" w:rsidP="00694CB7">
      <w:pPr>
        <w:numPr>
          <w:ilvl w:val="0"/>
          <w:numId w:val="38"/>
        </w:numPr>
      </w:pPr>
      <w:r w:rsidRPr="00694CB7">
        <w:t>Ensuring fair treatment and opportunity for all employees. </w:t>
      </w:r>
    </w:p>
    <w:p w14:paraId="34096030" w14:textId="77777777" w:rsidR="00694CB7" w:rsidRPr="00694CB7" w:rsidRDefault="00694CB7" w:rsidP="00694CB7">
      <w:pPr>
        <w:numPr>
          <w:ilvl w:val="0"/>
          <w:numId w:val="39"/>
        </w:numPr>
      </w:pPr>
      <w:r w:rsidRPr="00694CB7">
        <w:t>Reducing inequality in access to employment and service delivery.  </w:t>
      </w:r>
    </w:p>
    <w:p w14:paraId="66BBD984" w14:textId="77777777" w:rsidR="00694CB7" w:rsidRPr="00694CB7" w:rsidRDefault="00694CB7" w:rsidP="00694CB7">
      <w:r w:rsidRPr="00694CB7">
        <w:t>Delivery Outcomes &amp; Desired Results: </w:t>
      </w:r>
    </w:p>
    <w:p w14:paraId="4F94931D" w14:textId="77777777" w:rsidR="00694CB7" w:rsidRPr="00694CB7" w:rsidRDefault="00694CB7" w:rsidP="00694CB7">
      <w:pPr>
        <w:numPr>
          <w:ilvl w:val="0"/>
          <w:numId w:val="40"/>
        </w:numPr>
      </w:pPr>
      <w:r w:rsidRPr="00694CB7">
        <w:t>Deliver estimated savings of £250,000. </w:t>
      </w:r>
    </w:p>
    <w:p w14:paraId="11DCAA89" w14:textId="77777777" w:rsidR="00694CB7" w:rsidRPr="00694CB7" w:rsidRDefault="00694CB7" w:rsidP="00694CB7">
      <w:pPr>
        <w:numPr>
          <w:ilvl w:val="0"/>
          <w:numId w:val="41"/>
        </w:numPr>
      </w:pPr>
      <w:r w:rsidRPr="00694CB7">
        <w:t>Minimise service delivery disruption through early identification of mitigations. </w:t>
      </w:r>
    </w:p>
    <w:p w14:paraId="59870BEE" w14:textId="77777777" w:rsidR="00694CB7" w:rsidRPr="00694CB7" w:rsidRDefault="00694CB7" w:rsidP="00694CB7">
      <w:pPr>
        <w:numPr>
          <w:ilvl w:val="0"/>
          <w:numId w:val="42"/>
        </w:numPr>
      </w:pPr>
      <w:r w:rsidRPr="00694CB7">
        <w:t>Use a structured approach to assess contracts three months prior to expiry. </w:t>
      </w:r>
    </w:p>
    <w:p w14:paraId="2CE19236" w14:textId="77777777" w:rsidR="00694CB7" w:rsidRPr="00694CB7" w:rsidRDefault="00694CB7" w:rsidP="00694CB7">
      <w:pPr>
        <w:numPr>
          <w:ilvl w:val="0"/>
          <w:numId w:val="43"/>
        </w:numPr>
      </w:pPr>
      <w:r w:rsidRPr="00694CB7">
        <w:t>Manage changes fairly and consistently.  </w:t>
      </w:r>
    </w:p>
    <w:p w14:paraId="64B2F8E8" w14:textId="77777777" w:rsidR="00694CB7" w:rsidRPr="00694CB7" w:rsidRDefault="00694CB7" w:rsidP="00694CB7">
      <w:r w:rsidRPr="00694CB7">
        <w:t>Main Stakeholders:  </w:t>
      </w:r>
    </w:p>
    <w:p w14:paraId="4103CD93" w14:textId="77777777" w:rsidR="00694CB7" w:rsidRPr="00694CB7" w:rsidRDefault="00694CB7" w:rsidP="00694CB7">
      <w:pPr>
        <w:numPr>
          <w:ilvl w:val="0"/>
          <w:numId w:val="44"/>
        </w:numPr>
      </w:pPr>
      <w:r w:rsidRPr="00694CB7">
        <w:t>Staff on fixed-term contracts. </w:t>
      </w:r>
    </w:p>
    <w:p w14:paraId="49F24C74" w14:textId="77777777" w:rsidR="00694CB7" w:rsidRPr="00694CB7" w:rsidRDefault="00694CB7" w:rsidP="00694CB7">
      <w:pPr>
        <w:numPr>
          <w:ilvl w:val="0"/>
          <w:numId w:val="45"/>
        </w:numPr>
      </w:pPr>
      <w:r w:rsidRPr="00694CB7">
        <w:t>Service users (children, families, carers in Bradford).  </w:t>
      </w:r>
    </w:p>
    <w:p w14:paraId="6F6BE5FD" w14:textId="77777777" w:rsidR="00694CB7" w:rsidRPr="00694CB7" w:rsidRDefault="00694CB7" w:rsidP="00694CB7">
      <w:pPr>
        <w:numPr>
          <w:ilvl w:val="0"/>
          <w:numId w:val="46"/>
        </w:numPr>
      </w:pPr>
      <w:r w:rsidRPr="00694CB7">
        <w:t>Permanent staff managing or relying on temporary team members. </w:t>
      </w:r>
    </w:p>
    <w:p w14:paraId="196311AD" w14:textId="77777777" w:rsidR="00694CB7" w:rsidRPr="00694CB7" w:rsidRDefault="00694CB7" w:rsidP="00694CB7">
      <w:pPr>
        <w:numPr>
          <w:ilvl w:val="0"/>
          <w:numId w:val="47"/>
        </w:numPr>
      </w:pPr>
      <w:r w:rsidRPr="00694CB7">
        <w:t>Trade unions and HR. </w:t>
      </w:r>
    </w:p>
    <w:p w14:paraId="24686C29" w14:textId="5DFE4192" w:rsidR="00694CB7" w:rsidRDefault="00694CB7" w:rsidP="00694CB7">
      <w:r w:rsidRPr="00694CB7">
        <w:t> </w:t>
      </w:r>
    </w:p>
    <w:p w14:paraId="47AE4E08" w14:textId="77777777" w:rsidR="00694CB7" w:rsidRPr="00694CB7" w:rsidRDefault="00694CB7" w:rsidP="00694CB7"/>
    <w:p w14:paraId="550A23E1" w14:textId="77777777" w:rsidR="00694CB7" w:rsidRPr="00694CB7" w:rsidRDefault="00694CB7" w:rsidP="00694CB7">
      <w:r w:rsidRPr="00694CB7">
        <w:rPr>
          <w:b/>
          <w:bCs/>
        </w:rPr>
        <w:lastRenderedPageBreak/>
        <w:t>1.3</w:t>
      </w:r>
      <w:r w:rsidRPr="00694CB7">
        <w:tab/>
      </w:r>
      <w:r w:rsidRPr="00694CB7">
        <w:rPr>
          <w:b/>
          <w:bCs/>
        </w:rPr>
        <w:t>Stage 1 Assessment:</w:t>
      </w:r>
      <w:r w:rsidRPr="00694CB7">
        <w:t> </w:t>
      </w:r>
    </w:p>
    <w:p w14:paraId="44994DD5" w14:textId="65018902" w:rsidR="00694CB7" w:rsidRPr="00694CB7" w:rsidRDefault="00694CB7" w:rsidP="00694CB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694CB7" w:rsidRPr="00694CB7" w14:paraId="6193DEC4" w14:textId="77777777" w:rsidTr="00694CB7">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84BB36E" w14:textId="77777777" w:rsidR="00694CB7" w:rsidRPr="00694CB7" w:rsidRDefault="00694CB7" w:rsidP="00694CB7">
            <w:r w:rsidRPr="00694CB7">
              <w:rPr>
                <w:b/>
                <w:bCs/>
              </w:rPr>
              <w:t>Protected Characteristics:</w:t>
            </w:r>
            <w:r w:rsidRPr="00694CB7">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2F5A1B" w14:textId="77777777" w:rsidR="00694CB7" w:rsidRPr="00694CB7" w:rsidRDefault="00694CB7" w:rsidP="00694CB7">
            <w:r w:rsidRPr="00694CB7">
              <w:rPr>
                <w:b/>
                <w:bCs/>
              </w:rPr>
              <w:t>Impact</w:t>
            </w:r>
            <w:r w:rsidRPr="00694CB7">
              <w:t> </w:t>
            </w:r>
          </w:p>
          <w:p w14:paraId="02A07ACE" w14:textId="77777777" w:rsidR="00694CB7" w:rsidRPr="00694CB7" w:rsidRDefault="00694CB7" w:rsidP="00694CB7">
            <w:r w:rsidRPr="00694CB7">
              <w:t>Y/N </w:t>
            </w:r>
          </w:p>
        </w:tc>
      </w:tr>
      <w:tr w:rsidR="00694CB7" w:rsidRPr="00694CB7" w14:paraId="45C27A75"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0D5EC50" w14:textId="77777777" w:rsidR="00694CB7" w:rsidRPr="00694CB7" w:rsidRDefault="00694CB7" w:rsidP="00694CB7">
            <w:r w:rsidRPr="00694CB7">
              <w:t>Age </w:t>
            </w:r>
          </w:p>
        </w:tc>
        <w:tc>
          <w:tcPr>
            <w:tcW w:w="2475" w:type="dxa"/>
            <w:tcBorders>
              <w:top w:val="single" w:sz="6" w:space="0" w:color="auto"/>
              <w:left w:val="single" w:sz="6" w:space="0" w:color="auto"/>
              <w:bottom w:val="single" w:sz="6" w:space="0" w:color="auto"/>
              <w:right w:val="single" w:sz="6" w:space="0" w:color="auto"/>
            </w:tcBorders>
            <w:hideMark/>
          </w:tcPr>
          <w:p w14:paraId="29D75AC8" w14:textId="77777777" w:rsidR="00694CB7" w:rsidRPr="00694CB7" w:rsidRDefault="00694CB7" w:rsidP="00694CB7">
            <w:r w:rsidRPr="00694CB7">
              <w:t>N </w:t>
            </w:r>
          </w:p>
        </w:tc>
      </w:tr>
      <w:tr w:rsidR="00694CB7" w:rsidRPr="00694CB7" w14:paraId="386F1D31"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E0AAA4" w14:textId="77777777" w:rsidR="00694CB7" w:rsidRPr="00694CB7" w:rsidRDefault="00694CB7" w:rsidP="00694CB7">
            <w:r w:rsidRPr="00694CB7">
              <w:t>Disability </w:t>
            </w:r>
          </w:p>
        </w:tc>
        <w:tc>
          <w:tcPr>
            <w:tcW w:w="2475" w:type="dxa"/>
            <w:tcBorders>
              <w:top w:val="single" w:sz="6" w:space="0" w:color="auto"/>
              <w:left w:val="single" w:sz="6" w:space="0" w:color="auto"/>
              <w:bottom w:val="single" w:sz="6" w:space="0" w:color="auto"/>
              <w:right w:val="single" w:sz="6" w:space="0" w:color="auto"/>
            </w:tcBorders>
            <w:hideMark/>
          </w:tcPr>
          <w:p w14:paraId="55FF265A" w14:textId="77777777" w:rsidR="00694CB7" w:rsidRPr="00694CB7" w:rsidRDefault="00694CB7" w:rsidP="00694CB7">
            <w:r w:rsidRPr="00694CB7">
              <w:t>N </w:t>
            </w:r>
          </w:p>
        </w:tc>
      </w:tr>
      <w:tr w:rsidR="00694CB7" w:rsidRPr="00694CB7" w14:paraId="0A984669"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BFBA1E" w14:textId="77777777" w:rsidR="00694CB7" w:rsidRPr="00694CB7" w:rsidRDefault="00694CB7" w:rsidP="00694CB7">
            <w:r w:rsidRPr="00694CB7">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B53D827" w14:textId="77777777" w:rsidR="00694CB7" w:rsidRPr="00694CB7" w:rsidRDefault="00694CB7" w:rsidP="00694CB7">
            <w:r w:rsidRPr="00694CB7">
              <w:t>N </w:t>
            </w:r>
          </w:p>
        </w:tc>
      </w:tr>
      <w:tr w:rsidR="00694CB7" w:rsidRPr="00694CB7" w14:paraId="62252E44"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D1CF89" w14:textId="77777777" w:rsidR="00694CB7" w:rsidRPr="00694CB7" w:rsidRDefault="00694CB7" w:rsidP="00694CB7">
            <w:r w:rsidRPr="00694CB7">
              <w:t>Race </w:t>
            </w:r>
          </w:p>
        </w:tc>
        <w:tc>
          <w:tcPr>
            <w:tcW w:w="2475" w:type="dxa"/>
            <w:tcBorders>
              <w:top w:val="single" w:sz="6" w:space="0" w:color="auto"/>
              <w:left w:val="single" w:sz="6" w:space="0" w:color="auto"/>
              <w:bottom w:val="single" w:sz="6" w:space="0" w:color="auto"/>
              <w:right w:val="single" w:sz="6" w:space="0" w:color="auto"/>
            </w:tcBorders>
            <w:hideMark/>
          </w:tcPr>
          <w:p w14:paraId="221386C0" w14:textId="77777777" w:rsidR="00694CB7" w:rsidRPr="00694CB7" w:rsidRDefault="00694CB7" w:rsidP="00694CB7">
            <w:r w:rsidRPr="00694CB7">
              <w:t>N </w:t>
            </w:r>
          </w:p>
        </w:tc>
      </w:tr>
      <w:tr w:rsidR="00694CB7" w:rsidRPr="00694CB7" w14:paraId="0A5FC2CC"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76CE196" w14:textId="77777777" w:rsidR="00694CB7" w:rsidRPr="00694CB7" w:rsidRDefault="00694CB7" w:rsidP="00694CB7">
            <w:r w:rsidRPr="00694CB7">
              <w:t>Religion/Belief </w:t>
            </w:r>
          </w:p>
        </w:tc>
        <w:tc>
          <w:tcPr>
            <w:tcW w:w="2475" w:type="dxa"/>
            <w:tcBorders>
              <w:top w:val="single" w:sz="6" w:space="0" w:color="auto"/>
              <w:left w:val="single" w:sz="6" w:space="0" w:color="auto"/>
              <w:bottom w:val="single" w:sz="6" w:space="0" w:color="auto"/>
              <w:right w:val="single" w:sz="6" w:space="0" w:color="auto"/>
            </w:tcBorders>
            <w:hideMark/>
          </w:tcPr>
          <w:p w14:paraId="37170D23" w14:textId="77777777" w:rsidR="00694CB7" w:rsidRPr="00694CB7" w:rsidRDefault="00694CB7" w:rsidP="00694CB7">
            <w:r w:rsidRPr="00694CB7">
              <w:t>N </w:t>
            </w:r>
          </w:p>
        </w:tc>
      </w:tr>
      <w:tr w:rsidR="00694CB7" w:rsidRPr="00694CB7" w14:paraId="3C138B6E"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6C0BFBD" w14:textId="77777777" w:rsidR="00694CB7" w:rsidRPr="00694CB7" w:rsidRDefault="00694CB7" w:rsidP="00694CB7">
            <w:r w:rsidRPr="00694CB7">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7B886EE7" w14:textId="77777777" w:rsidR="00694CB7" w:rsidRPr="00694CB7" w:rsidRDefault="00694CB7" w:rsidP="00694CB7">
            <w:r w:rsidRPr="00694CB7">
              <w:t>N </w:t>
            </w:r>
          </w:p>
        </w:tc>
      </w:tr>
      <w:tr w:rsidR="00694CB7" w:rsidRPr="00694CB7" w14:paraId="47866A93"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D8CA02" w14:textId="77777777" w:rsidR="00694CB7" w:rsidRPr="00694CB7" w:rsidRDefault="00694CB7" w:rsidP="00694CB7">
            <w:r w:rsidRPr="00694CB7">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BCAA0C5" w14:textId="77777777" w:rsidR="00694CB7" w:rsidRPr="00694CB7" w:rsidRDefault="00694CB7" w:rsidP="00694CB7">
            <w:r w:rsidRPr="00694CB7">
              <w:t>N </w:t>
            </w:r>
          </w:p>
        </w:tc>
      </w:tr>
      <w:tr w:rsidR="00694CB7" w:rsidRPr="00694CB7" w14:paraId="1D2FE044"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AB36E69" w14:textId="77777777" w:rsidR="00694CB7" w:rsidRPr="00694CB7" w:rsidRDefault="00694CB7" w:rsidP="00694CB7">
            <w:r w:rsidRPr="00694CB7">
              <w:t>Sex </w:t>
            </w:r>
          </w:p>
        </w:tc>
        <w:tc>
          <w:tcPr>
            <w:tcW w:w="2475" w:type="dxa"/>
            <w:tcBorders>
              <w:top w:val="single" w:sz="6" w:space="0" w:color="auto"/>
              <w:left w:val="single" w:sz="6" w:space="0" w:color="auto"/>
              <w:bottom w:val="single" w:sz="6" w:space="0" w:color="auto"/>
              <w:right w:val="single" w:sz="6" w:space="0" w:color="auto"/>
            </w:tcBorders>
            <w:hideMark/>
          </w:tcPr>
          <w:p w14:paraId="209F5FEE" w14:textId="77777777" w:rsidR="00694CB7" w:rsidRPr="00694CB7" w:rsidRDefault="00694CB7" w:rsidP="00694CB7">
            <w:r w:rsidRPr="00694CB7">
              <w:t>Y </w:t>
            </w:r>
          </w:p>
        </w:tc>
      </w:tr>
      <w:tr w:rsidR="00694CB7" w:rsidRPr="00694CB7" w14:paraId="57F94E76"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BB4A06" w14:textId="77777777" w:rsidR="00694CB7" w:rsidRPr="00694CB7" w:rsidRDefault="00694CB7" w:rsidP="00694CB7">
            <w:r w:rsidRPr="00694CB7">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3C13A04C" w14:textId="77777777" w:rsidR="00694CB7" w:rsidRPr="00694CB7" w:rsidRDefault="00694CB7" w:rsidP="00694CB7">
            <w:r w:rsidRPr="00694CB7">
              <w:t>N </w:t>
            </w:r>
          </w:p>
        </w:tc>
      </w:tr>
      <w:tr w:rsidR="00694CB7" w:rsidRPr="00694CB7" w14:paraId="35383E4B"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243F051" w14:textId="77777777" w:rsidR="00694CB7" w:rsidRPr="00694CB7" w:rsidRDefault="00694CB7" w:rsidP="00694CB7">
            <w:r w:rsidRPr="00694CB7">
              <w:rPr>
                <w:b/>
                <w:bCs/>
              </w:rPr>
              <w:t>Additional Consideration:</w:t>
            </w:r>
            <w:r w:rsidRPr="00694CB7">
              <w:t> </w:t>
            </w:r>
          </w:p>
        </w:tc>
        <w:tc>
          <w:tcPr>
            <w:tcW w:w="2475" w:type="dxa"/>
            <w:tcBorders>
              <w:top w:val="single" w:sz="6" w:space="0" w:color="auto"/>
              <w:left w:val="single" w:sz="6" w:space="0" w:color="auto"/>
              <w:bottom w:val="single" w:sz="6" w:space="0" w:color="auto"/>
              <w:right w:val="single" w:sz="6" w:space="0" w:color="auto"/>
            </w:tcBorders>
            <w:hideMark/>
          </w:tcPr>
          <w:p w14:paraId="53671909" w14:textId="77777777" w:rsidR="00694CB7" w:rsidRPr="00694CB7" w:rsidRDefault="00694CB7" w:rsidP="00694CB7">
            <w:r w:rsidRPr="00694CB7">
              <w:t>N </w:t>
            </w:r>
          </w:p>
        </w:tc>
      </w:tr>
      <w:tr w:rsidR="00694CB7" w:rsidRPr="00694CB7" w14:paraId="67A37995"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BA9CC9" w14:textId="77777777" w:rsidR="00694CB7" w:rsidRPr="00694CB7" w:rsidRDefault="00694CB7" w:rsidP="00694CB7">
            <w:r w:rsidRPr="00694CB7">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171DA72F" w14:textId="77777777" w:rsidR="00694CB7" w:rsidRPr="00694CB7" w:rsidRDefault="00694CB7" w:rsidP="00694CB7">
            <w:r w:rsidRPr="00694CB7">
              <w:t>Y </w:t>
            </w:r>
          </w:p>
        </w:tc>
      </w:tr>
      <w:tr w:rsidR="00694CB7" w:rsidRPr="00694CB7" w14:paraId="63D67EBF"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57C3C39" w14:textId="77777777" w:rsidR="00694CB7" w:rsidRPr="00694CB7" w:rsidRDefault="00694CB7" w:rsidP="00694CB7">
            <w:r w:rsidRPr="00694CB7">
              <w:t>Care Leavers </w:t>
            </w:r>
          </w:p>
        </w:tc>
        <w:tc>
          <w:tcPr>
            <w:tcW w:w="2475" w:type="dxa"/>
            <w:tcBorders>
              <w:top w:val="single" w:sz="6" w:space="0" w:color="auto"/>
              <w:left w:val="single" w:sz="6" w:space="0" w:color="auto"/>
              <w:bottom w:val="single" w:sz="6" w:space="0" w:color="auto"/>
              <w:right w:val="single" w:sz="6" w:space="0" w:color="auto"/>
            </w:tcBorders>
            <w:hideMark/>
          </w:tcPr>
          <w:p w14:paraId="0A1F0A30" w14:textId="77777777" w:rsidR="00694CB7" w:rsidRPr="00694CB7" w:rsidRDefault="00694CB7" w:rsidP="00694CB7">
            <w:r w:rsidRPr="00694CB7">
              <w:t>N </w:t>
            </w:r>
          </w:p>
        </w:tc>
      </w:tr>
    </w:tbl>
    <w:p w14:paraId="2DDEF22C" w14:textId="77777777" w:rsidR="00694CB7" w:rsidRDefault="00694CB7" w:rsidP="00694CB7">
      <w:pPr>
        <w:rPr>
          <w:b/>
          <w:bCs/>
        </w:rPr>
      </w:pPr>
    </w:p>
    <w:p w14:paraId="36C93EC7" w14:textId="04F45EA1" w:rsidR="00694CB7" w:rsidRPr="00694CB7" w:rsidRDefault="00694CB7" w:rsidP="00694CB7">
      <w:pPr>
        <w:rPr>
          <w:b/>
          <w:bCs/>
        </w:rPr>
      </w:pPr>
      <w:r w:rsidRPr="00694CB7">
        <w:rPr>
          <w:b/>
          <w:bCs/>
        </w:rPr>
        <w:t>Stage 2: Full Equality Impact Assessment: </w:t>
      </w:r>
    </w:p>
    <w:p w14:paraId="26248812" w14:textId="5CFD57DA" w:rsidR="00694CB7" w:rsidRPr="00694CB7" w:rsidRDefault="00694CB7" w:rsidP="00694CB7">
      <w:r w:rsidRPr="00694CB7">
        <w:t>  </w:t>
      </w:r>
    </w:p>
    <w:p w14:paraId="6284E684" w14:textId="77777777" w:rsidR="00694CB7" w:rsidRPr="00694CB7" w:rsidRDefault="00694CB7" w:rsidP="00694CB7">
      <w:pPr>
        <w:numPr>
          <w:ilvl w:val="0"/>
          <w:numId w:val="48"/>
        </w:numPr>
      </w:pPr>
      <w:r w:rsidRPr="00694CB7">
        <w:rPr>
          <w:b/>
          <w:bCs/>
        </w:rPr>
        <w:t xml:space="preserve">Will this proposal advance </w:t>
      </w:r>
      <w:r w:rsidRPr="00694CB7">
        <w:rPr>
          <w:b/>
          <w:bCs/>
          <w:u w:val="single"/>
        </w:rPr>
        <w:t>equality of opportunity</w:t>
      </w:r>
      <w:r w:rsidRPr="00694CB7">
        <w:rPr>
          <w:b/>
          <w:bCs/>
        </w:rPr>
        <w:t xml:space="preserve"> for people who share a protected characteristic and/or </w:t>
      </w:r>
      <w:r w:rsidRPr="00694CB7">
        <w:rPr>
          <w:b/>
          <w:bCs/>
          <w:u w:val="single"/>
        </w:rPr>
        <w:t>foster good relations</w:t>
      </w:r>
      <w:r w:rsidRPr="00694CB7">
        <w:rPr>
          <w:b/>
          <w:bCs/>
        </w:rPr>
        <w:t xml:space="preserve"> between people who share a protected characteristic and those that do not? </w:t>
      </w:r>
      <w:r w:rsidRPr="00694CB7">
        <w:t> </w:t>
      </w:r>
    </w:p>
    <w:p w14:paraId="1F8C36D6" w14:textId="77777777" w:rsidR="00694CB7" w:rsidRPr="00694CB7" w:rsidRDefault="00694CB7" w:rsidP="00694CB7">
      <w:r w:rsidRPr="00694CB7">
        <w:t> </w:t>
      </w:r>
    </w:p>
    <w:p w14:paraId="61208442" w14:textId="77777777" w:rsidR="00694CB7" w:rsidRPr="00694CB7" w:rsidRDefault="00694CB7" w:rsidP="00694CB7">
      <w:r w:rsidRPr="00694CB7">
        <w:t>No, this proposal is not expected to actively advance equality of opportunity or foster good relations. </w:t>
      </w:r>
    </w:p>
    <w:p w14:paraId="377ED3FC" w14:textId="77777777" w:rsidR="00694CB7" w:rsidRPr="00694CB7" w:rsidRDefault="00694CB7" w:rsidP="00694CB7">
      <w:r w:rsidRPr="00694CB7">
        <w:t> </w:t>
      </w:r>
    </w:p>
    <w:p w14:paraId="179735A1" w14:textId="77777777" w:rsidR="00694CB7" w:rsidRPr="00694CB7" w:rsidRDefault="00694CB7" w:rsidP="00694CB7">
      <w:r w:rsidRPr="00694CB7">
        <w:t>The primary aim of the proposal is financial—specifically, to reduce staffing costs by ending fixed-term contracts (FTCs) where possible. While it does not intentionally disadvantage any protected group, it also does not include specific actions that would promote equality or improve relationships between different groups. </w:t>
      </w:r>
    </w:p>
    <w:p w14:paraId="1EF1151E" w14:textId="77777777" w:rsidR="00694CB7" w:rsidRDefault="00694CB7" w:rsidP="00694CB7">
      <w:r w:rsidRPr="00694CB7">
        <w:t> </w:t>
      </w:r>
    </w:p>
    <w:p w14:paraId="32658056" w14:textId="77777777" w:rsidR="00694CB7" w:rsidRPr="00694CB7" w:rsidRDefault="00694CB7" w:rsidP="00694CB7"/>
    <w:p w14:paraId="21C3D925" w14:textId="77777777" w:rsidR="00694CB7" w:rsidRPr="00694CB7" w:rsidRDefault="00694CB7" w:rsidP="00694CB7">
      <w:r w:rsidRPr="00694CB7">
        <w:lastRenderedPageBreak/>
        <w:t>However, the proposal does include: </w:t>
      </w:r>
    </w:p>
    <w:p w14:paraId="716E3196" w14:textId="77777777" w:rsidR="00694CB7" w:rsidRPr="00694CB7" w:rsidRDefault="00694CB7" w:rsidP="00694CB7">
      <w:pPr>
        <w:numPr>
          <w:ilvl w:val="0"/>
          <w:numId w:val="49"/>
        </w:numPr>
      </w:pPr>
      <w:r w:rsidRPr="00694CB7">
        <w:t xml:space="preserve">A commitment to </w:t>
      </w:r>
      <w:r w:rsidRPr="00694CB7">
        <w:rPr>
          <w:b/>
          <w:bCs/>
        </w:rPr>
        <w:t>review each FTC individually</w:t>
      </w:r>
      <w:r w:rsidRPr="00694CB7">
        <w:t>, which allows for consideration of individual circumstances. </w:t>
      </w:r>
    </w:p>
    <w:p w14:paraId="2B713CD5" w14:textId="77777777" w:rsidR="00694CB7" w:rsidRPr="00694CB7" w:rsidRDefault="00694CB7" w:rsidP="00694CB7">
      <w:pPr>
        <w:numPr>
          <w:ilvl w:val="0"/>
          <w:numId w:val="50"/>
        </w:numPr>
      </w:pPr>
      <w:r w:rsidRPr="00694CB7">
        <w:t xml:space="preserve">An expectation that </w:t>
      </w:r>
      <w:r w:rsidRPr="00694CB7">
        <w:rPr>
          <w:b/>
          <w:bCs/>
        </w:rPr>
        <w:t>redeployment support</w:t>
      </w:r>
      <w:r w:rsidRPr="00694CB7">
        <w:t xml:space="preserve"> will be offered where feasible, which could help mitigate negative impacts for affected staff. </w:t>
      </w:r>
    </w:p>
    <w:p w14:paraId="32377C3D" w14:textId="77777777" w:rsidR="00694CB7" w:rsidRPr="00694CB7" w:rsidRDefault="00694CB7" w:rsidP="00694CB7">
      <w:r w:rsidRPr="00694CB7">
        <w:t> </w:t>
      </w:r>
    </w:p>
    <w:p w14:paraId="15A6073B" w14:textId="77777777" w:rsidR="00694CB7" w:rsidRPr="00694CB7" w:rsidRDefault="00694CB7" w:rsidP="00694CB7">
      <w:r w:rsidRPr="00694CB7">
        <w:t xml:space="preserve">At this stage, there is </w:t>
      </w:r>
      <w:r w:rsidRPr="00694CB7">
        <w:rPr>
          <w:b/>
          <w:bCs/>
        </w:rPr>
        <w:t>no evidence</w:t>
      </w:r>
      <w:r w:rsidRPr="00694CB7">
        <w:t xml:space="preserve"> that the proposal will create </w:t>
      </w:r>
      <w:r w:rsidRPr="00694CB7">
        <w:rPr>
          <w:b/>
          <w:bCs/>
        </w:rPr>
        <w:t>positive impacts</w:t>
      </w:r>
      <w:r w:rsidRPr="00694CB7">
        <w:t xml:space="preserve"> for protected groups. However, if the review process identifies opportunities to transition FTC staff into permanent roles through fair and transparent processes, this could support equality of opportunity in the future. </w:t>
      </w:r>
    </w:p>
    <w:p w14:paraId="1D701876" w14:textId="77777777" w:rsidR="00694CB7" w:rsidRPr="00694CB7" w:rsidRDefault="00694CB7" w:rsidP="00694CB7">
      <w:r w:rsidRPr="00694CB7">
        <w:t> </w:t>
      </w:r>
    </w:p>
    <w:p w14:paraId="706718EB" w14:textId="77777777" w:rsidR="00694CB7" w:rsidRPr="00694CB7" w:rsidRDefault="00694CB7" w:rsidP="00694CB7">
      <w:pPr>
        <w:numPr>
          <w:ilvl w:val="0"/>
          <w:numId w:val="51"/>
        </w:numPr>
      </w:pPr>
      <w:r w:rsidRPr="00694CB7">
        <w:rPr>
          <w:b/>
          <w:bCs/>
        </w:rPr>
        <w:t xml:space="preserve">Will this proposal have a positive impact and help to </w:t>
      </w:r>
      <w:r w:rsidRPr="00694CB7">
        <w:rPr>
          <w:b/>
          <w:bCs/>
          <w:u w:val="single"/>
        </w:rPr>
        <w:t>eliminate discrimination and harassment against, or the victimisation</w:t>
      </w:r>
      <w:r w:rsidRPr="00694CB7">
        <w:rPr>
          <w:b/>
          <w:bCs/>
        </w:rPr>
        <w:t xml:space="preserve"> of people who share a protected characteristic? If yes, please explain further.</w:t>
      </w:r>
      <w:r w:rsidRPr="00694CB7">
        <w:t> </w:t>
      </w:r>
    </w:p>
    <w:p w14:paraId="3E33D619" w14:textId="77777777" w:rsidR="00694CB7" w:rsidRPr="00694CB7" w:rsidRDefault="00694CB7" w:rsidP="00694CB7">
      <w:r w:rsidRPr="00694CB7">
        <w:t> </w:t>
      </w:r>
    </w:p>
    <w:p w14:paraId="65A9581E" w14:textId="77777777" w:rsidR="00694CB7" w:rsidRPr="00694CB7" w:rsidRDefault="00694CB7" w:rsidP="00694CB7">
      <w:r w:rsidRPr="00694CB7">
        <w:t>No, this proposal is not expected to directly help eliminate discrimination, harassment, or victimisation. </w:t>
      </w:r>
    </w:p>
    <w:p w14:paraId="2CA66B57" w14:textId="77777777" w:rsidR="00694CB7" w:rsidRPr="00694CB7" w:rsidRDefault="00694CB7" w:rsidP="00694CB7">
      <w:r w:rsidRPr="00694CB7">
        <w:t> </w:t>
      </w:r>
    </w:p>
    <w:p w14:paraId="0770A66D" w14:textId="77777777" w:rsidR="00694CB7" w:rsidRPr="00694CB7" w:rsidRDefault="00694CB7" w:rsidP="00694CB7">
      <w:r w:rsidRPr="00694CB7">
        <w:t>The proposal is focused on achieving financial savings by ending fixed-term contracts (FTCs) where possible. It does not include specific actions aimed at tackling discrimination or promoting inclusion. However, there are some indirect considerations that could support fair treatment if managed carefully: </w:t>
      </w:r>
    </w:p>
    <w:p w14:paraId="07AD5175" w14:textId="77777777" w:rsidR="00694CB7" w:rsidRPr="00694CB7" w:rsidRDefault="00694CB7" w:rsidP="00694CB7">
      <w:r w:rsidRPr="00694CB7">
        <w:t> </w:t>
      </w:r>
    </w:p>
    <w:p w14:paraId="1F1AAF47" w14:textId="77777777" w:rsidR="00694CB7" w:rsidRPr="00694CB7" w:rsidRDefault="00694CB7" w:rsidP="00694CB7">
      <w:pPr>
        <w:numPr>
          <w:ilvl w:val="0"/>
          <w:numId w:val="52"/>
        </w:numPr>
      </w:pPr>
      <w:r w:rsidRPr="00694CB7">
        <w:t>Consistent and transparent review of FTCs could help ensure decisions are based on business need rather than personal characteristics. </w:t>
      </w:r>
    </w:p>
    <w:p w14:paraId="5DC2EBFE" w14:textId="77777777" w:rsidR="00694CB7" w:rsidRPr="00694CB7" w:rsidRDefault="00694CB7" w:rsidP="00694CB7">
      <w:pPr>
        <w:numPr>
          <w:ilvl w:val="0"/>
          <w:numId w:val="53"/>
        </w:numPr>
      </w:pPr>
      <w:r w:rsidRPr="00694CB7">
        <w:t>HR oversight and governance processes (e.g. Establishment Management Process) may help reduce the risk of unfair treatment or bias in decision-making. </w:t>
      </w:r>
    </w:p>
    <w:p w14:paraId="19E447C4" w14:textId="77777777" w:rsidR="00694CB7" w:rsidRPr="00694CB7" w:rsidRDefault="00694CB7" w:rsidP="00694CB7">
      <w:r w:rsidRPr="00694CB7">
        <w:t> </w:t>
      </w:r>
    </w:p>
    <w:p w14:paraId="65A1F188" w14:textId="77777777" w:rsidR="00694CB7" w:rsidRPr="00694CB7" w:rsidRDefault="00694CB7" w:rsidP="00694CB7">
      <w:r w:rsidRPr="00694CB7">
        <w:t>That said, without a full analysis of the equality profile of affected staff, there is a risk that some groups (e.g. women, younger workers, or those on lower incomes) may be disproportionately impacted. If not addressed, this could unintentionally lead to indirect discrimination. </w:t>
      </w:r>
    </w:p>
    <w:p w14:paraId="10BBEB9D" w14:textId="77777777" w:rsidR="00694CB7" w:rsidRPr="00694CB7" w:rsidRDefault="00694CB7" w:rsidP="00694CB7">
      <w:r w:rsidRPr="00694CB7">
        <w:t> </w:t>
      </w:r>
    </w:p>
    <w:p w14:paraId="144AAD85" w14:textId="77777777" w:rsidR="00694CB7" w:rsidRPr="00694CB7" w:rsidRDefault="00694CB7" w:rsidP="00694CB7">
      <w:r w:rsidRPr="00694CB7">
        <w:t>To ensure compliance with the Equality Act 2010, the Trust will: </w:t>
      </w:r>
    </w:p>
    <w:p w14:paraId="0FEF85BC" w14:textId="77777777" w:rsidR="00694CB7" w:rsidRPr="00694CB7" w:rsidRDefault="00694CB7" w:rsidP="00694CB7">
      <w:pPr>
        <w:numPr>
          <w:ilvl w:val="0"/>
          <w:numId w:val="54"/>
        </w:numPr>
      </w:pPr>
      <w:r w:rsidRPr="00694CB7">
        <w:t>Monitor the equality impact of decisions made under this proposal. </w:t>
      </w:r>
    </w:p>
    <w:p w14:paraId="72EA3C89" w14:textId="77777777" w:rsidR="00694CB7" w:rsidRPr="00694CB7" w:rsidRDefault="00694CB7" w:rsidP="00694CB7">
      <w:pPr>
        <w:numPr>
          <w:ilvl w:val="0"/>
          <w:numId w:val="55"/>
        </w:numPr>
      </w:pPr>
      <w:r w:rsidRPr="00694CB7">
        <w:t>Provide support and fair redeployment opportunities to affected staff. </w:t>
      </w:r>
    </w:p>
    <w:p w14:paraId="1F21394D" w14:textId="77777777" w:rsidR="00694CB7" w:rsidRPr="00694CB7" w:rsidRDefault="00694CB7" w:rsidP="00694CB7">
      <w:r w:rsidRPr="00694CB7">
        <w:t> </w:t>
      </w:r>
    </w:p>
    <w:p w14:paraId="589FF73E" w14:textId="77777777" w:rsidR="00694CB7" w:rsidRPr="00694CB7" w:rsidRDefault="00694CB7" w:rsidP="00694CB7">
      <w:r w:rsidRPr="00694CB7">
        <w:lastRenderedPageBreak/>
        <w:t> </w:t>
      </w:r>
    </w:p>
    <w:p w14:paraId="0BDCEF2D" w14:textId="77777777" w:rsidR="00694CB7" w:rsidRPr="00694CB7" w:rsidRDefault="00694CB7" w:rsidP="00694CB7">
      <w:pPr>
        <w:numPr>
          <w:ilvl w:val="0"/>
          <w:numId w:val="56"/>
        </w:numPr>
      </w:pPr>
      <w:r w:rsidRPr="00694CB7">
        <w:rPr>
          <w:b/>
          <w:bCs/>
        </w:rPr>
        <w:t>Will this proposal potentially have a negative and/or disproportionate impact on people who share a protected characteristic? If yes, please explain further. </w:t>
      </w:r>
      <w:r w:rsidRPr="00694CB7">
        <w:t> </w:t>
      </w:r>
    </w:p>
    <w:p w14:paraId="1293DCD4" w14:textId="7AF943F9" w:rsidR="00694CB7" w:rsidRPr="00694CB7" w:rsidRDefault="00694CB7" w:rsidP="00694CB7">
      <w:r w:rsidRPr="00694CB7">
        <w:t>  </w:t>
      </w:r>
    </w:p>
    <w:p w14:paraId="4D8B5B33" w14:textId="77777777" w:rsidR="00694CB7" w:rsidRPr="00694CB7" w:rsidRDefault="00694CB7" w:rsidP="00694CB7">
      <w:r w:rsidRPr="00694CB7">
        <w:t>Yes. The proposal may have a negative and potentially disproportionate impact on people who share the protected characteristic of sex, particularly women. The Trust’s workforce, especially in fixed-term contract (FTC) roles, is understood to be predominantly female. As a result, ending FTCs without renewal may unintentionally affect more women than men. This could lead to indirect discrimination, where a policy or practice that appears neutral has a worse effect on one group compared to others. Additionally, many of the affected roles may be lower paid, meaning the financial impact on women could be more significant and may reinforce existing inequalities. </w:t>
      </w:r>
    </w:p>
    <w:p w14:paraId="7636977B" w14:textId="77777777" w:rsidR="00694CB7" w:rsidRPr="00694CB7" w:rsidRDefault="00694CB7" w:rsidP="00694CB7">
      <w:r w:rsidRPr="00694CB7">
        <w:t> </w:t>
      </w:r>
    </w:p>
    <w:p w14:paraId="275E2F5D" w14:textId="77777777" w:rsidR="00694CB7" w:rsidRPr="00694CB7" w:rsidRDefault="00694CB7" w:rsidP="00694CB7">
      <w:r w:rsidRPr="00694CB7">
        <w:t>At this stage, there is no clear evidence of disproportionate impact on other protected groups such as race, disability, or age, but this is due to a lack of detailed equality data on the 35 FTC staff. Further analysis is required to confirm whether other groups may also be affected. </w:t>
      </w:r>
    </w:p>
    <w:p w14:paraId="634BC8FE" w14:textId="77777777" w:rsidR="00694CB7" w:rsidRPr="00694CB7" w:rsidRDefault="00694CB7" w:rsidP="00694CB7">
      <w:r w:rsidRPr="00694CB7">
        <w:t> </w:t>
      </w:r>
    </w:p>
    <w:p w14:paraId="6D6A99AE" w14:textId="77777777" w:rsidR="00694CB7" w:rsidRPr="00694CB7" w:rsidRDefault="00694CB7" w:rsidP="00694CB7">
      <w:r w:rsidRPr="00694CB7">
        <w:t xml:space="preserve">To meet the requirements of the Equality Act 2010 and ensure due regard is given, the Trust will ensure that decisions are based on objective business needs rather than personal characteristics. It will also monitor the equality profile of affected staff, offer fair and transparent redeployment opportunities, and document all decisions to demonstrate that equality considerations have been fully </w:t>
      </w:r>
      <w:proofErr w:type="gramStart"/>
      <w:r w:rsidRPr="00694CB7">
        <w:t>taken into account</w:t>
      </w:r>
      <w:proofErr w:type="gramEnd"/>
      <w:r w:rsidRPr="00694CB7">
        <w:t>. </w:t>
      </w:r>
    </w:p>
    <w:p w14:paraId="6AFAA588" w14:textId="12D73AB7" w:rsidR="00694CB7" w:rsidRPr="00694CB7" w:rsidRDefault="00694CB7" w:rsidP="00694CB7">
      <w:r w:rsidRPr="00694CB7">
        <w:t>  </w:t>
      </w:r>
    </w:p>
    <w:p w14:paraId="2CAD529C" w14:textId="77777777" w:rsidR="00694CB7" w:rsidRPr="00694CB7" w:rsidRDefault="00694CB7" w:rsidP="00694CB7">
      <w:pPr>
        <w:numPr>
          <w:ilvl w:val="0"/>
          <w:numId w:val="57"/>
        </w:numPr>
      </w:pPr>
      <w:r w:rsidRPr="00694CB7">
        <w:rPr>
          <w:b/>
          <w:bCs/>
        </w:rPr>
        <w:t xml:space="preserve">Please indicate the </w:t>
      </w:r>
      <w:r w:rsidRPr="00694CB7">
        <w:rPr>
          <w:b/>
          <w:bCs/>
          <w:u w:val="single"/>
        </w:rPr>
        <w:t>level</w:t>
      </w:r>
      <w:r w:rsidRPr="00694CB7">
        <w:rPr>
          <w:b/>
          <w:bCs/>
        </w:rPr>
        <w:t xml:space="preserve"> of negative impact on each of the protected </w:t>
      </w:r>
      <w:proofErr w:type="gramStart"/>
      <w:r w:rsidRPr="00694CB7">
        <w:rPr>
          <w:b/>
          <w:bCs/>
        </w:rPr>
        <w:t>characteristics?</w:t>
      </w:r>
      <w:proofErr w:type="gramEnd"/>
      <w:r w:rsidRPr="00694CB7">
        <w:t> </w:t>
      </w:r>
    </w:p>
    <w:p w14:paraId="0E4E753B" w14:textId="65F43DB8" w:rsidR="00694CB7" w:rsidRPr="00694CB7" w:rsidRDefault="00694CB7" w:rsidP="00694CB7">
      <w:r w:rsidRPr="00694CB7">
        <w:t>  </w:t>
      </w:r>
    </w:p>
    <w:p w14:paraId="72F42289" w14:textId="77777777" w:rsidR="00694CB7" w:rsidRPr="00694CB7" w:rsidRDefault="00694CB7" w:rsidP="00694CB7">
      <w:r w:rsidRPr="00694CB7">
        <w:t>(Please indicate high (H), medium (M), low (L), no effect (N) for each)</w:t>
      </w:r>
      <w:r w:rsidRPr="00694CB7">
        <w:rPr>
          <w:i/>
          <w:iCs/>
        </w:rPr>
        <w:t> </w:t>
      </w:r>
      <w:r w:rsidRPr="00694CB7">
        <w:t> </w:t>
      </w:r>
    </w:p>
    <w:p w14:paraId="1ADDD443" w14:textId="77777777" w:rsidR="00694CB7" w:rsidRPr="00694CB7" w:rsidRDefault="00694CB7" w:rsidP="00694CB7">
      <w:r w:rsidRPr="00694CB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694CB7" w:rsidRPr="00694CB7" w14:paraId="2C0B0575" w14:textId="77777777" w:rsidTr="00694CB7">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24D6CC" w14:textId="77777777" w:rsidR="00694CB7" w:rsidRPr="00694CB7" w:rsidRDefault="00694CB7" w:rsidP="00694CB7">
            <w:r w:rsidRPr="00694CB7">
              <w:rPr>
                <w:b/>
                <w:bCs/>
              </w:rPr>
              <w:t>Protected Characteristics:</w:t>
            </w:r>
            <w:r w:rsidRPr="00694CB7">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511C63" w14:textId="77777777" w:rsidR="00694CB7" w:rsidRPr="00694CB7" w:rsidRDefault="00694CB7" w:rsidP="00694CB7">
            <w:r w:rsidRPr="00694CB7">
              <w:rPr>
                <w:b/>
                <w:bCs/>
              </w:rPr>
              <w:t>Impact</w:t>
            </w:r>
            <w:r w:rsidRPr="00694CB7">
              <w:t> </w:t>
            </w:r>
          </w:p>
          <w:p w14:paraId="45BAD85B" w14:textId="77777777" w:rsidR="00694CB7" w:rsidRPr="00694CB7" w:rsidRDefault="00694CB7" w:rsidP="00694CB7">
            <w:r w:rsidRPr="00694CB7">
              <w:t>(H, M, L, N) </w:t>
            </w:r>
          </w:p>
        </w:tc>
      </w:tr>
      <w:tr w:rsidR="00694CB7" w:rsidRPr="00694CB7" w14:paraId="3C2AF0E7"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DD30A5" w14:textId="77777777" w:rsidR="00694CB7" w:rsidRPr="00694CB7" w:rsidRDefault="00694CB7" w:rsidP="00694CB7">
            <w:r w:rsidRPr="00694CB7">
              <w:t>Age </w:t>
            </w:r>
          </w:p>
        </w:tc>
        <w:tc>
          <w:tcPr>
            <w:tcW w:w="2475" w:type="dxa"/>
            <w:tcBorders>
              <w:top w:val="single" w:sz="6" w:space="0" w:color="auto"/>
              <w:left w:val="single" w:sz="6" w:space="0" w:color="auto"/>
              <w:bottom w:val="single" w:sz="6" w:space="0" w:color="auto"/>
              <w:right w:val="single" w:sz="6" w:space="0" w:color="auto"/>
            </w:tcBorders>
            <w:hideMark/>
          </w:tcPr>
          <w:p w14:paraId="69A00D4B" w14:textId="77777777" w:rsidR="00694CB7" w:rsidRPr="00694CB7" w:rsidRDefault="00694CB7" w:rsidP="00694CB7">
            <w:r w:rsidRPr="00694CB7">
              <w:t>L </w:t>
            </w:r>
          </w:p>
        </w:tc>
      </w:tr>
      <w:tr w:rsidR="00694CB7" w:rsidRPr="00694CB7" w14:paraId="2447B4D8"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68B505" w14:textId="77777777" w:rsidR="00694CB7" w:rsidRPr="00694CB7" w:rsidRDefault="00694CB7" w:rsidP="00694CB7">
            <w:r w:rsidRPr="00694CB7">
              <w:t>Disability </w:t>
            </w:r>
          </w:p>
        </w:tc>
        <w:tc>
          <w:tcPr>
            <w:tcW w:w="2475" w:type="dxa"/>
            <w:tcBorders>
              <w:top w:val="single" w:sz="6" w:space="0" w:color="auto"/>
              <w:left w:val="single" w:sz="6" w:space="0" w:color="auto"/>
              <w:bottom w:val="single" w:sz="6" w:space="0" w:color="auto"/>
              <w:right w:val="single" w:sz="6" w:space="0" w:color="auto"/>
            </w:tcBorders>
            <w:hideMark/>
          </w:tcPr>
          <w:p w14:paraId="09F55843" w14:textId="77777777" w:rsidR="00694CB7" w:rsidRPr="00694CB7" w:rsidRDefault="00694CB7" w:rsidP="00694CB7">
            <w:r w:rsidRPr="00694CB7">
              <w:t>L </w:t>
            </w:r>
          </w:p>
        </w:tc>
      </w:tr>
      <w:tr w:rsidR="00694CB7" w:rsidRPr="00694CB7" w14:paraId="0E01FE0D"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F18647" w14:textId="77777777" w:rsidR="00694CB7" w:rsidRPr="00694CB7" w:rsidRDefault="00694CB7" w:rsidP="00694CB7">
            <w:r w:rsidRPr="00694CB7">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5B93A64" w14:textId="77777777" w:rsidR="00694CB7" w:rsidRPr="00694CB7" w:rsidRDefault="00694CB7" w:rsidP="00694CB7">
            <w:r w:rsidRPr="00694CB7">
              <w:t>N </w:t>
            </w:r>
          </w:p>
        </w:tc>
      </w:tr>
      <w:tr w:rsidR="00694CB7" w:rsidRPr="00694CB7" w14:paraId="3C14D7B9"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D7BE587" w14:textId="77777777" w:rsidR="00694CB7" w:rsidRPr="00694CB7" w:rsidRDefault="00694CB7" w:rsidP="00694CB7">
            <w:r w:rsidRPr="00694CB7">
              <w:t>Race </w:t>
            </w:r>
          </w:p>
        </w:tc>
        <w:tc>
          <w:tcPr>
            <w:tcW w:w="2475" w:type="dxa"/>
            <w:tcBorders>
              <w:top w:val="single" w:sz="6" w:space="0" w:color="auto"/>
              <w:left w:val="single" w:sz="6" w:space="0" w:color="auto"/>
              <w:bottom w:val="single" w:sz="6" w:space="0" w:color="auto"/>
              <w:right w:val="single" w:sz="6" w:space="0" w:color="auto"/>
            </w:tcBorders>
            <w:hideMark/>
          </w:tcPr>
          <w:p w14:paraId="15215DB6" w14:textId="77777777" w:rsidR="00694CB7" w:rsidRPr="00694CB7" w:rsidRDefault="00694CB7" w:rsidP="00694CB7">
            <w:r w:rsidRPr="00694CB7">
              <w:t>L </w:t>
            </w:r>
          </w:p>
        </w:tc>
      </w:tr>
      <w:tr w:rsidR="00694CB7" w:rsidRPr="00694CB7" w14:paraId="5FF421BF"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A4AE6D" w14:textId="77777777" w:rsidR="00694CB7" w:rsidRPr="00694CB7" w:rsidRDefault="00694CB7" w:rsidP="00694CB7">
            <w:r w:rsidRPr="00694CB7">
              <w:t>Religion/Belief </w:t>
            </w:r>
          </w:p>
        </w:tc>
        <w:tc>
          <w:tcPr>
            <w:tcW w:w="2475" w:type="dxa"/>
            <w:tcBorders>
              <w:top w:val="single" w:sz="6" w:space="0" w:color="auto"/>
              <w:left w:val="single" w:sz="6" w:space="0" w:color="auto"/>
              <w:bottom w:val="single" w:sz="6" w:space="0" w:color="auto"/>
              <w:right w:val="single" w:sz="6" w:space="0" w:color="auto"/>
            </w:tcBorders>
            <w:hideMark/>
          </w:tcPr>
          <w:p w14:paraId="76C43362" w14:textId="77777777" w:rsidR="00694CB7" w:rsidRPr="00694CB7" w:rsidRDefault="00694CB7" w:rsidP="00694CB7">
            <w:r w:rsidRPr="00694CB7">
              <w:t>N </w:t>
            </w:r>
          </w:p>
        </w:tc>
      </w:tr>
      <w:tr w:rsidR="00694CB7" w:rsidRPr="00694CB7" w14:paraId="1256086E"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BF9300" w14:textId="77777777" w:rsidR="00694CB7" w:rsidRPr="00694CB7" w:rsidRDefault="00694CB7" w:rsidP="00694CB7">
            <w:r w:rsidRPr="00694CB7">
              <w:lastRenderedPageBreak/>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57772F14" w14:textId="77777777" w:rsidR="00694CB7" w:rsidRPr="00694CB7" w:rsidRDefault="00694CB7" w:rsidP="00694CB7">
            <w:r w:rsidRPr="00694CB7">
              <w:t>M </w:t>
            </w:r>
          </w:p>
        </w:tc>
      </w:tr>
      <w:tr w:rsidR="00694CB7" w:rsidRPr="00694CB7" w14:paraId="0F3F5CC7"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8E2899" w14:textId="77777777" w:rsidR="00694CB7" w:rsidRPr="00694CB7" w:rsidRDefault="00694CB7" w:rsidP="00694CB7">
            <w:r w:rsidRPr="00694CB7">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DB837BF" w14:textId="77777777" w:rsidR="00694CB7" w:rsidRPr="00694CB7" w:rsidRDefault="00694CB7" w:rsidP="00694CB7">
            <w:r w:rsidRPr="00694CB7">
              <w:t>N </w:t>
            </w:r>
          </w:p>
        </w:tc>
      </w:tr>
      <w:tr w:rsidR="00694CB7" w:rsidRPr="00694CB7" w14:paraId="30B7C145"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D6EF39" w14:textId="77777777" w:rsidR="00694CB7" w:rsidRPr="00694CB7" w:rsidRDefault="00694CB7" w:rsidP="00694CB7">
            <w:r w:rsidRPr="00694CB7">
              <w:t>Sex </w:t>
            </w:r>
          </w:p>
        </w:tc>
        <w:tc>
          <w:tcPr>
            <w:tcW w:w="2475" w:type="dxa"/>
            <w:tcBorders>
              <w:top w:val="single" w:sz="6" w:space="0" w:color="auto"/>
              <w:left w:val="single" w:sz="6" w:space="0" w:color="auto"/>
              <w:bottom w:val="single" w:sz="6" w:space="0" w:color="auto"/>
              <w:right w:val="single" w:sz="6" w:space="0" w:color="auto"/>
            </w:tcBorders>
            <w:hideMark/>
          </w:tcPr>
          <w:p w14:paraId="2CA428A3" w14:textId="77777777" w:rsidR="00694CB7" w:rsidRPr="00694CB7" w:rsidRDefault="00694CB7" w:rsidP="00694CB7">
            <w:r w:rsidRPr="00694CB7">
              <w:t>M </w:t>
            </w:r>
          </w:p>
        </w:tc>
      </w:tr>
      <w:tr w:rsidR="00694CB7" w:rsidRPr="00694CB7" w14:paraId="55379190"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47E358F" w14:textId="77777777" w:rsidR="00694CB7" w:rsidRPr="00694CB7" w:rsidRDefault="00694CB7" w:rsidP="00694CB7">
            <w:r w:rsidRPr="00694CB7">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48D958FC" w14:textId="77777777" w:rsidR="00694CB7" w:rsidRPr="00694CB7" w:rsidRDefault="00694CB7" w:rsidP="00694CB7">
            <w:r w:rsidRPr="00694CB7">
              <w:t>N </w:t>
            </w:r>
          </w:p>
        </w:tc>
      </w:tr>
      <w:tr w:rsidR="00694CB7" w:rsidRPr="00694CB7" w14:paraId="095D8432"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FD82F3B" w14:textId="77777777" w:rsidR="00694CB7" w:rsidRPr="00694CB7" w:rsidRDefault="00694CB7" w:rsidP="00694CB7">
            <w:r w:rsidRPr="00694CB7">
              <w:rPr>
                <w:b/>
                <w:bCs/>
              </w:rPr>
              <w:t>Additional Consideration:</w:t>
            </w:r>
            <w:r w:rsidRPr="00694CB7">
              <w:t> </w:t>
            </w:r>
          </w:p>
        </w:tc>
        <w:tc>
          <w:tcPr>
            <w:tcW w:w="2475" w:type="dxa"/>
            <w:tcBorders>
              <w:top w:val="single" w:sz="6" w:space="0" w:color="auto"/>
              <w:left w:val="single" w:sz="6" w:space="0" w:color="auto"/>
              <w:bottom w:val="single" w:sz="6" w:space="0" w:color="auto"/>
              <w:right w:val="single" w:sz="6" w:space="0" w:color="auto"/>
            </w:tcBorders>
            <w:hideMark/>
          </w:tcPr>
          <w:p w14:paraId="3398D62E" w14:textId="77777777" w:rsidR="00694CB7" w:rsidRPr="00694CB7" w:rsidRDefault="00694CB7" w:rsidP="00694CB7">
            <w:r w:rsidRPr="00694CB7">
              <w:t> </w:t>
            </w:r>
          </w:p>
        </w:tc>
      </w:tr>
      <w:tr w:rsidR="00694CB7" w:rsidRPr="00694CB7" w14:paraId="22EDC70A"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A531B4" w14:textId="77777777" w:rsidR="00694CB7" w:rsidRPr="00694CB7" w:rsidRDefault="00694CB7" w:rsidP="00694CB7">
            <w:r w:rsidRPr="00694CB7">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5370A16D" w14:textId="77777777" w:rsidR="00694CB7" w:rsidRPr="00694CB7" w:rsidRDefault="00694CB7" w:rsidP="00694CB7">
            <w:r w:rsidRPr="00694CB7">
              <w:t>M </w:t>
            </w:r>
          </w:p>
        </w:tc>
      </w:tr>
      <w:tr w:rsidR="00694CB7" w:rsidRPr="00694CB7" w14:paraId="26AC51C6" w14:textId="77777777" w:rsidTr="00694CB7">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6F98874" w14:textId="77777777" w:rsidR="00694CB7" w:rsidRPr="00694CB7" w:rsidRDefault="00694CB7" w:rsidP="00694CB7">
            <w:r w:rsidRPr="00694CB7">
              <w:t>Care Leavers </w:t>
            </w:r>
          </w:p>
        </w:tc>
        <w:tc>
          <w:tcPr>
            <w:tcW w:w="2475" w:type="dxa"/>
            <w:tcBorders>
              <w:top w:val="single" w:sz="6" w:space="0" w:color="auto"/>
              <w:left w:val="single" w:sz="6" w:space="0" w:color="auto"/>
              <w:bottom w:val="single" w:sz="6" w:space="0" w:color="auto"/>
              <w:right w:val="single" w:sz="6" w:space="0" w:color="auto"/>
            </w:tcBorders>
            <w:hideMark/>
          </w:tcPr>
          <w:p w14:paraId="7DF477FE" w14:textId="77777777" w:rsidR="00694CB7" w:rsidRPr="00694CB7" w:rsidRDefault="00694CB7" w:rsidP="00694CB7">
            <w:r w:rsidRPr="00694CB7">
              <w:t>L </w:t>
            </w:r>
          </w:p>
        </w:tc>
      </w:tr>
    </w:tbl>
    <w:p w14:paraId="3BC9CE34" w14:textId="77777777" w:rsidR="00694CB7" w:rsidRPr="00694CB7" w:rsidRDefault="00694CB7" w:rsidP="00694CB7">
      <w:r w:rsidRPr="00694CB7">
        <w:t> </w:t>
      </w:r>
    </w:p>
    <w:p w14:paraId="47F88059" w14:textId="77777777" w:rsidR="00694CB7" w:rsidRPr="00694CB7" w:rsidRDefault="00694CB7" w:rsidP="00694CB7">
      <w:r w:rsidRPr="00694CB7">
        <w:t>Potential impact is greater for women (workforce is majority female) and those on lower incomes who are more likely to be on fixed-term contracts. </w:t>
      </w:r>
    </w:p>
    <w:p w14:paraId="51AEFE7F" w14:textId="65F0A15F" w:rsidR="00694CB7" w:rsidRPr="00694CB7" w:rsidRDefault="00694CB7" w:rsidP="00694CB7">
      <w:r w:rsidRPr="00694CB7">
        <w:t>  </w:t>
      </w:r>
    </w:p>
    <w:p w14:paraId="41663876" w14:textId="77777777" w:rsidR="00694CB7" w:rsidRPr="00694CB7" w:rsidRDefault="00694CB7" w:rsidP="00694CB7">
      <w:r w:rsidRPr="00694CB7">
        <w:rPr>
          <w:b/>
          <w:bCs/>
        </w:rPr>
        <w:t xml:space="preserve">2.5 </w:t>
      </w:r>
      <w:r w:rsidRPr="00694CB7">
        <w:tab/>
      </w:r>
      <w:r w:rsidRPr="00694CB7">
        <w:rPr>
          <w:b/>
          <w:bCs/>
        </w:rPr>
        <w:t>How could the disproportionate negative impacts be mitigated or eliminated? </w:t>
      </w:r>
      <w:r w:rsidRPr="00694CB7">
        <w:t> </w:t>
      </w:r>
    </w:p>
    <w:p w14:paraId="0990D70B" w14:textId="77777777" w:rsidR="00694CB7" w:rsidRPr="00694CB7" w:rsidRDefault="00694CB7" w:rsidP="00694CB7">
      <w:r w:rsidRPr="00694CB7">
        <w:t> </w:t>
      </w:r>
    </w:p>
    <w:p w14:paraId="1496821D" w14:textId="77777777" w:rsidR="00694CB7" w:rsidRPr="00694CB7" w:rsidRDefault="00694CB7" w:rsidP="00694CB7">
      <w:r w:rsidRPr="00694CB7">
        <w:t xml:space="preserve">The proposal may have a medium-level negative impact on the protected characteristic of </w:t>
      </w:r>
      <w:r w:rsidRPr="00694CB7">
        <w:rPr>
          <w:b/>
          <w:bCs/>
        </w:rPr>
        <w:t>sex (particularly women)</w:t>
      </w:r>
      <w:r w:rsidRPr="00694CB7">
        <w:t xml:space="preserve">, as well as on those who are </w:t>
      </w:r>
      <w:r w:rsidRPr="00694CB7">
        <w:rPr>
          <w:b/>
          <w:bCs/>
        </w:rPr>
        <w:t>pregnant or on maternity leave</w:t>
      </w:r>
      <w:r w:rsidRPr="00694CB7">
        <w:t xml:space="preserve">, and individuals on </w:t>
      </w:r>
      <w:r w:rsidRPr="00694CB7">
        <w:rPr>
          <w:b/>
          <w:bCs/>
        </w:rPr>
        <w:t>low incomes</w:t>
      </w:r>
      <w:r w:rsidRPr="00694CB7">
        <w:t>. To mitigate these impacts and comply with the Equality Act 2010, the following actions will be taken: </w:t>
      </w:r>
    </w:p>
    <w:p w14:paraId="6D0A4017" w14:textId="77777777" w:rsidR="00694CB7" w:rsidRPr="00694CB7" w:rsidRDefault="00694CB7" w:rsidP="00694CB7">
      <w:r w:rsidRPr="00694CB7">
        <w:t> </w:t>
      </w:r>
    </w:p>
    <w:p w14:paraId="3D499CFB" w14:textId="77777777" w:rsidR="00694CB7" w:rsidRPr="00694CB7" w:rsidRDefault="00694CB7" w:rsidP="00694CB7">
      <w:r w:rsidRPr="00694CB7">
        <w:rPr>
          <w:b/>
          <w:bCs/>
        </w:rPr>
        <w:t>Action Required:</w:t>
      </w:r>
      <w:r w:rsidRPr="00694CB7">
        <w:t> </w:t>
      </w:r>
    </w:p>
    <w:p w14:paraId="4C180EF1" w14:textId="77777777" w:rsidR="00694CB7" w:rsidRPr="00694CB7" w:rsidRDefault="00694CB7" w:rsidP="00694CB7">
      <w:r w:rsidRPr="00694CB7">
        <w:t> </w:t>
      </w:r>
    </w:p>
    <w:p w14:paraId="52021183" w14:textId="77777777" w:rsidR="00694CB7" w:rsidRPr="00694CB7" w:rsidRDefault="00694CB7" w:rsidP="00694CB7">
      <w:pPr>
        <w:numPr>
          <w:ilvl w:val="0"/>
          <w:numId w:val="58"/>
        </w:numPr>
      </w:pPr>
      <w:r w:rsidRPr="00694CB7">
        <w:rPr>
          <w:b/>
          <w:bCs/>
        </w:rPr>
        <w:t>Conduct equality screening during each contract reviews</w:t>
      </w:r>
      <w:r w:rsidRPr="00694CB7">
        <w:t> </w:t>
      </w:r>
      <w:r w:rsidRPr="00694CB7">
        <w:br/>
        <w:t>Each fixed-term contract (FTC) will be reviewed individually, with equality considerations built into the decision-making process. This ensures that any potential disproportionate impact is identified early. </w:t>
      </w:r>
    </w:p>
    <w:p w14:paraId="34669FE3" w14:textId="77777777" w:rsidR="00694CB7" w:rsidRPr="00694CB7" w:rsidRDefault="00694CB7" w:rsidP="00694CB7">
      <w:r w:rsidRPr="00694CB7">
        <w:t> </w:t>
      </w:r>
    </w:p>
    <w:p w14:paraId="6010A460" w14:textId="77777777" w:rsidR="00694CB7" w:rsidRPr="00694CB7" w:rsidRDefault="00694CB7" w:rsidP="00694CB7">
      <w:pPr>
        <w:numPr>
          <w:ilvl w:val="0"/>
          <w:numId w:val="59"/>
        </w:numPr>
      </w:pPr>
      <w:r w:rsidRPr="00694CB7">
        <w:rPr>
          <w:b/>
          <w:bCs/>
        </w:rPr>
        <w:t>Offer redeployment to vacant positions or provide recruitment techniques and support to affected staff where possible</w:t>
      </w:r>
      <w:r w:rsidRPr="00694CB7">
        <w:t> </w:t>
      </w:r>
      <w:r w:rsidRPr="00694CB7">
        <w:br/>
        <w:t>Affected staff will be supported through redeployment opportunities, access to internal vacancies, and career advice. Where redeployment is not possible, support will be offered to help staff apply for other roles. </w:t>
      </w:r>
    </w:p>
    <w:p w14:paraId="797ED9B4" w14:textId="77777777" w:rsidR="00694CB7" w:rsidRPr="00694CB7" w:rsidRDefault="00694CB7" w:rsidP="00694CB7">
      <w:r w:rsidRPr="00694CB7">
        <w:t> </w:t>
      </w:r>
    </w:p>
    <w:p w14:paraId="1272BEA3" w14:textId="77777777" w:rsidR="00694CB7" w:rsidRPr="00694CB7" w:rsidRDefault="00694CB7" w:rsidP="00694CB7">
      <w:pPr>
        <w:numPr>
          <w:ilvl w:val="0"/>
          <w:numId w:val="60"/>
        </w:numPr>
      </w:pPr>
      <w:r w:rsidRPr="00694CB7">
        <w:rPr>
          <w:b/>
          <w:bCs/>
        </w:rPr>
        <w:t>Consult with unions and HR to ensure fair and transparent decision-making</w:t>
      </w:r>
      <w:r w:rsidRPr="00694CB7">
        <w:t> </w:t>
      </w:r>
      <w:r w:rsidRPr="00694CB7">
        <w:br/>
        <w:t>HR and union representatives will be engaged throughout the process to ensure decisions are consistent, fair, and legally compliant. </w:t>
      </w:r>
    </w:p>
    <w:p w14:paraId="57082A96" w14:textId="77777777" w:rsidR="00694CB7" w:rsidRPr="00694CB7" w:rsidRDefault="00694CB7" w:rsidP="00694CB7">
      <w:pPr>
        <w:numPr>
          <w:ilvl w:val="0"/>
          <w:numId w:val="61"/>
        </w:numPr>
      </w:pPr>
      <w:r w:rsidRPr="00694CB7">
        <w:rPr>
          <w:b/>
          <w:bCs/>
        </w:rPr>
        <w:t>Monitor the equality profile of affected individuals.</w:t>
      </w:r>
      <w:r w:rsidRPr="00694CB7">
        <w:t> </w:t>
      </w:r>
    </w:p>
    <w:p w14:paraId="6F569F3F" w14:textId="77777777" w:rsidR="00694CB7" w:rsidRPr="00694CB7" w:rsidRDefault="00694CB7" w:rsidP="00694CB7">
      <w:r w:rsidRPr="00694CB7">
        <w:lastRenderedPageBreak/>
        <w:t> </w:t>
      </w:r>
      <w:r w:rsidRPr="00694CB7">
        <w:br/>
        <w:t>The Trust will collect and analyse equality data (e.g. sex, maternity status, pay grade) for all FTC staff in scope. This will help identify any patterns of disproportionate impact and inform adjustments to the approach if needed. </w:t>
      </w:r>
    </w:p>
    <w:p w14:paraId="69281D29" w14:textId="77777777" w:rsidR="00694CB7" w:rsidRPr="00694CB7" w:rsidRDefault="00694CB7" w:rsidP="00694CB7">
      <w:r w:rsidRPr="00694CB7">
        <w:t> </w:t>
      </w:r>
    </w:p>
    <w:p w14:paraId="42F38FAD" w14:textId="77777777" w:rsidR="00694CB7" w:rsidRPr="00694CB7" w:rsidRDefault="00694CB7" w:rsidP="00694CB7">
      <w:pPr>
        <w:numPr>
          <w:ilvl w:val="0"/>
          <w:numId w:val="62"/>
        </w:numPr>
      </w:pPr>
      <w:r w:rsidRPr="00694CB7">
        <w:rPr>
          <w:b/>
          <w:bCs/>
        </w:rPr>
        <w:t>Ensure compliance with employment law, especially relating to maternity and disability rights</w:t>
      </w:r>
      <w:r w:rsidRPr="00694CB7">
        <w:t> </w:t>
      </w:r>
      <w:r w:rsidRPr="00694CB7">
        <w:br/>
        <w:t>Particular care will be taken to ensure that staff on maternity leave or with disabilities are not unfairly disadvantaged. Legal obligations under the Equality Act 2010 and employment law will be strictly followed. </w:t>
      </w:r>
    </w:p>
    <w:p w14:paraId="14DBBB43" w14:textId="77777777" w:rsidR="00694CB7" w:rsidRPr="00694CB7" w:rsidRDefault="00694CB7" w:rsidP="00694CB7">
      <w:r w:rsidRPr="00694CB7">
        <w:t> </w:t>
      </w:r>
    </w:p>
    <w:p w14:paraId="4CABC3E5" w14:textId="77777777" w:rsidR="00694CB7" w:rsidRPr="00694CB7" w:rsidRDefault="00694CB7" w:rsidP="00694CB7">
      <w:r w:rsidRPr="00694CB7">
        <w:t>These mitigations aim to reduce the risk of indirect discrimination and ensure that all decisions are made fairly, transparently, and in line with the Trust’s values and legal duties. </w:t>
      </w:r>
    </w:p>
    <w:p w14:paraId="7486F7C3" w14:textId="77777777" w:rsidR="00694CB7" w:rsidRPr="00694CB7" w:rsidRDefault="00694CB7" w:rsidP="00694CB7">
      <w:pPr>
        <w:rPr>
          <w:b/>
          <w:bCs/>
        </w:rPr>
      </w:pPr>
      <w:r w:rsidRPr="00694CB7">
        <w:rPr>
          <w:b/>
          <w:bCs/>
        </w:rPr>
        <w:t>Section 3: Dependencies from other proposals  </w:t>
      </w:r>
    </w:p>
    <w:p w14:paraId="78DBF04B" w14:textId="77777777" w:rsidR="00694CB7" w:rsidRPr="00694CB7" w:rsidRDefault="00694CB7" w:rsidP="00694CB7">
      <w:r w:rsidRPr="00694CB7">
        <w:t> </w:t>
      </w:r>
    </w:p>
    <w:p w14:paraId="289E6236" w14:textId="77777777" w:rsidR="00694CB7" w:rsidRPr="00694CB7" w:rsidRDefault="00694CB7" w:rsidP="00694CB7">
      <w:r w:rsidRPr="00694CB7">
        <w:rPr>
          <w:b/>
          <w:bCs/>
        </w:rPr>
        <w:t>3.1</w:t>
      </w:r>
      <w:r w:rsidRPr="00694CB7">
        <w:tab/>
      </w:r>
      <w:r w:rsidRPr="00694CB7">
        <w:rPr>
          <w:b/>
          <w:bCs/>
        </w:rPr>
        <w:t>Please consider which other services would need to know about your proposal and the impacts you have identified. Identify below which services you have consulted, and any consequent additional equality impacts that have been identified. </w:t>
      </w:r>
      <w:r w:rsidRPr="00694CB7">
        <w:t> </w:t>
      </w:r>
    </w:p>
    <w:p w14:paraId="5F2A79EC" w14:textId="77777777" w:rsidR="00694CB7" w:rsidRPr="00694CB7" w:rsidRDefault="00694CB7" w:rsidP="00694CB7">
      <w:r w:rsidRPr="00694CB7">
        <w:t> </w:t>
      </w:r>
    </w:p>
    <w:p w14:paraId="7B94376F" w14:textId="77777777" w:rsidR="00694CB7" w:rsidRPr="00694CB7" w:rsidRDefault="00694CB7" w:rsidP="00694CB7">
      <w:r w:rsidRPr="00694CB7">
        <w:rPr>
          <w:b/>
          <w:bCs/>
        </w:rPr>
        <w:t>Human Resources (HR)</w:t>
      </w:r>
      <w:r w:rsidRPr="00694CB7">
        <w:t> </w:t>
      </w:r>
    </w:p>
    <w:p w14:paraId="001FA253" w14:textId="77777777" w:rsidR="00694CB7" w:rsidRPr="00694CB7" w:rsidRDefault="00694CB7" w:rsidP="00694CB7">
      <w:pPr>
        <w:numPr>
          <w:ilvl w:val="0"/>
          <w:numId w:val="63"/>
        </w:numPr>
      </w:pPr>
      <w:r w:rsidRPr="00694CB7">
        <w:rPr>
          <w:b/>
          <w:bCs/>
        </w:rPr>
        <w:t>Role</w:t>
      </w:r>
      <w:r w:rsidRPr="00694CB7">
        <w:t>: Provided workforce data, supported the identification of fixed-term contracts (FTCs), and advised on redeployment and employment law implications. </w:t>
      </w:r>
    </w:p>
    <w:p w14:paraId="58A30D83" w14:textId="77777777" w:rsidR="00694CB7" w:rsidRPr="00694CB7" w:rsidRDefault="00694CB7" w:rsidP="00694CB7">
      <w:pPr>
        <w:numPr>
          <w:ilvl w:val="0"/>
          <w:numId w:val="64"/>
        </w:numPr>
      </w:pPr>
      <w:r w:rsidRPr="00694CB7">
        <w:rPr>
          <w:b/>
          <w:bCs/>
        </w:rPr>
        <w:t>Equality Impact</w:t>
      </w:r>
      <w:r w:rsidRPr="00694CB7">
        <w:t xml:space="preserve">: HR highlighted the need to monitor for indirect discrimination, particularly in relation to </w:t>
      </w:r>
      <w:r w:rsidRPr="00694CB7">
        <w:rPr>
          <w:b/>
          <w:bCs/>
        </w:rPr>
        <w:t>sex</w:t>
      </w:r>
      <w:r w:rsidRPr="00694CB7">
        <w:t xml:space="preserve"> and </w:t>
      </w:r>
      <w:r w:rsidRPr="00694CB7">
        <w:rPr>
          <w:b/>
          <w:bCs/>
        </w:rPr>
        <w:t>pregnancy/maternity</w:t>
      </w:r>
      <w:r w:rsidRPr="00694CB7">
        <w:t>, and advised on fair redeployment processes. </w:t>
      </w:r>
    </w:p>
    <w:p w14:paraId="024A3FC0" w14:textId="77777777" w:rsidR="00694CB7" w:rsidRPr="00694CB7" w:rsidRDefault="00694CB7" w:rsidP="00694CB7">
      <w:r w:rsidRPr="00694CB7">
        <w:rPr>
          <w:b/>
          <w:bCs/>
        </w:rPr>
        <w:t>Finance</w:t>
      </w:r>
      <w:r w:rsidRPr="00694CB7">
        <w:t> </w:t>
      </w:r>
    </w:p>
    <w:p w14:paraId="757C4C7D" w14:textId="77777777" w:rsidR="00694CB7" w:rsidRPr="00694CB7" w:rsidRDefault="00694CB7" w:rsidP="00694CB7">
      <w:r w:rsidRPr="00694CB7">
        <w:t> </w:t>
      </w:r>
    </w:p>
    <w:p w14:paraId="3C8F49E7" w14:textId="77777777" w:rsidR="00694CB7" w:rsidRPr="00694CB7" w:rsidRDefault="00694CB7" w:rsidP="00694CB7">
      <w:pPr>
        <w:numPr>
          <w:ilvl w:val="0"/>
          <w:numId w:val="65"/>
        </w:numPr>
      </w:pPr>
      <w:r w:rsidRPr="00694CB7">
        <w:rPr>
          <w:b/>
          <w:bCs/>
        </w:rPr>
        <w:t>Role</w:t>
      </w:r>
      <w:r w:rsidRPr="00694CB7">
        <w:t>: Validated the estimated savings (£133k) and ensured no double-counting of salary savings. </w:t>
      </w:r>
    </w:p>
    <w:p w14:paraId="60130273" w14:textId="77777777" w:rsidR="00694CB7" w:rsidRPr="00694CB7" w:rsidRDefault="00694CB7" w:rsidP="00694CB7">
      <w:r w:rsidRPr="00694CB7">
        <w:t> </w:t>
      </w:r>
    </w:p>
    <w:p w14:paraId="5451E652" w14:textId="77777777" w:rsidR="00694CB7" w:rsidRPr="00694CB7" w:rsidRDefault="00694CB7" w:rsidP="00694CB7">
      <w:pPr>
        <w:numPr>
          <w:ilvl w:val="0"/>
          <w:numId w:val="66"/>
        </w:numPr>
      </w:pPr>
      <w:r w:rsidRPr="00694CB7">
        <w:rPr>
          <w:b/>
          <w:bCs/>
        </w:rPr>
        <w:t>Equality Impact</w:t>
      </w:r>
      <w:r w:rsidRPr="00694CB7">
        <w:t>: No direct equality impacts identified, but Finance supported the need for careful tracking of savings to avoid unintended consequences. </w:t>
      </w:r>
    </w:p>
    <w:p w14:paraId="64FDAAE2" w14:textId="77777777" w:rsidR="00694CB7" w:rsidRPr="00694CB7" w:rsidRDefault="00694CB7" w:rsidP="00694CB7">
      <w:r w:rsidRPr="00694CB7">
        <w:t> </w:t>
      </w:r>
    </w:p>
    <w:p w14:paraId="72918ACC" w14:textId="77777777" w:rsidR="00694CB7" w:rsidRPr="00694CB7" w:rsidRDefault="00694CB7" w:rsidP="00694CB7">
      <w:r w:rsidRPr="00694CB7">
        <w:rPr>
          <w:b/>
          <w:bCs/>
        </w:rPr>
        <w:t>Heads of Service</w:t>
      </w:r>
      <w:r w:rsidRPr="00694CB7">
        <w:t> </w:t>
      </w:r>
    </w:p>
    <w:p w14:paraId="5486A720" w14:textId="77777777" w:rsidR="00694CB7" w:rsidRPr="00694CB7" w:rsidRDefault="00694CB7" w:rsidP="00694CB7">
      <w:pPr>
        <w:numPr>
          <w:ilvl w:val="0"/>
          <w:numId w:val="67"/>
        </w:numPr>
      </w:pPr>
      <w:r w:rsidRPr="00694CB7">
        <w:rPr>
          <w:b/>
          <w:bCs/>
        </w:rPr>
        <w:t>Role</w:t>
      </w:r>
      <w:r w:rsidRPr="00694CB7">
        <w:t>: Engaged in early discussions to identify FTCs that could be ended and assess operational risks. </w:t>
      </w:r>
    </w:p>
    <w:p w14:paraId="4CC64992" w14:textId="77777777" w:rsidR="00694CB7" w:rsidRPr="00694CB7" w:rsidRDefault="00694CB7" w:rsidP="00694CB7">
      <w:r w:rsidRPr="00694CB7">
        <w:lastRenderedPageBreak/>
        <w:t> </w:t>
      </w:r>
    </w:p>
    <w:p w14:paraId="6E0142CC" w14:textId="77777777" w:rsidR="00694CB7" w:rsidRPr="00694CB7" w:rsidRDefault="00694CB7" w:rsidP="00694CB7">
      <w:pPr>
        <w:numPr>
          <w:ilvl w:val="0"/>
          <w:numId w:val="68"/>
        </w:numPr>
      </w:pPr>
      <w:r w:rsidRPr="00694CB7">
        <w:rPr>
          <w:b/>
          <w:bCs/>
        </w:rPr>
        <w:t>Equality Impact</w:t>
      </w:r>
      <w:r w:rsidRPr="00694CB7">
        <w:t>: Heads of Service raised concerns about potential service disruption and the need to manage transitions sensitively, especially where FTC staff are embedded in teams. </w:t>
      </w:r>
    </w:p>
    <w:p w14:paraId="416C875E" w14:textId="77777777" w:rsidR="00694CB7" w:rsidRPr="00694CB7" w:rsidRDefault="00694CB7" w:rsidP="00694CB7">
      <w:r w:rsidRPr="00694CB7">
        <w:t> </w:t>
      </w:r>
    </w:p>
    <w:p w14:paraId="7B91F357" w14:textId="77777777" w:rsidR="00694CB7" w:rsidRPr="00694CB7" w:rsidRDefault="00694CB7" w:rsidP="00694CB7">
      <w:r w:rsidRPr="00694CB7">
        <w:rPr>
          <w:b/>
          <w:bCs/>
        </w:rPr>
        <w:t>Additional Equality Impacts Identified Through Consultation</w:t>
      </w:r>
      <w:r w:rsidRPr="00694CB7">
        <w:t> </w:t>
      </w:r>
    </w:p>
    <w:p w14:paraId="29315AC6" w14:textId="77777777" w:rsidR="00694CB7" w:rsidRPr="00694CB7" w:rsidRDefault="00694CB7" w:rsidP="00694CB7">
      <w:pPr>
        <w:numPr>
          <w:ilvl w:val="0"/>
          <w:numId w:val="69"/>
        </w:numPr>
      </w:pPr>
      <w:r w:rsidRPr="00694CB7">
        <w:rPr>
          <w:b/>
          <w:bCs/>
        </w:rPr>
        <w:t>Sex (Gender)</w:t>
      </w:r>
      <w:r w:rsidRPr="00694CB7">
        <w:t>: HR confirmed that FTC roles are likely to be disproportionately held by women, increasing the risk of indirect discrimination. </w:t>
      </w:r>
    </w:p>
    <w:p w14:paraId="657435AB" w14:textId="77777777" w:rsidR="00694CB7" w:rsidRPr="00694CB7" w:rsidRDefault="00694CB7" w:rsidP="00694CB7">
      <w:r w:rsidRPr="00694CB7">
        <w:t> </w:t>
      </w:r>
    </w:p>
    <w:p w14:paraId="363BD5DC" w14:textId="77777777" w:rsidR="00694CB7" w:rsidRPr="00694CB7" w:rsidRDefault="00694CB7" w:rsidP="00694CB7">
      <w:pPr>
        <w:numPr>
          <w:ilvl w:val="0"/>
          <w:numId w:val="70"/>
        </w:numPr>
      </w:pPr>
      <w:r w:rsidRPr="00694CB7">
        <w:rPr>
          <w:b/>
          <w:bCs/>
        </w:rPr>
        <w:t>Pregnancy and Maternity</w:t>
      </w:r>
      <w:r w:rsidRPr="00694CB7">
        <w:t>: HR flagged the importance of ensuring that staff on maternity leave are not unfairly disadvantaged in the review process. </w:t>
      </w:r>
    </w:p>
    <w:p w14:paraId="3088329D" w14:textId="77777777" w:rsidR="00694CB7" w:rsidRPr="00694CB7" w:rsidRDefault="00694CB7" w:rsidP="00694CB7">
      <w:r w:rsidRPr="00694CB7">
        <w:t> </w:t>
      </w:r>
    </w:p>
    <w:p w14:paraId="740A74C4" w14:textId="77777777" w:rsidR="00694CB7" w:rsidRPr="00694CB7" w:rsidRDefault="00694CB7" w:rsidP="00694CB7">
      <w:pPr>
        <w:numPr>
          <w:ilvl w:val="0"/>
          <w:numId w:val="71"/>
        </w:numPr>
      </w:pPr>
      <w:r w:rsidRPr="00694CB7">
        <w:rPr>
          <w:b/>
          <w:bCs/>
        </w:rPr>
        <w:t>Low Income</w:t>
      </w:r>
      <w:r w:rsidRPr="00694CB7">
        <w:t>: It was acknowledged that many FTC roles may be lower-paid, and job loss could have a significant financial impact on affected individuals. </w:t>
      </w:r>
    </w:p>
    <w:p w14:paraId="502E8B33" w14:textId="77777777" w:rsidR="00694CB7" w:rsidRPr="00694CB7" w:rsidRDefault="00694CB7" w:rsidP="00694CB7">
      <w:pPr>
        <w:rPr>
          <w:b/>
          <w:bCs/>
        </w:rPr>
      </w:pPr>
      <w:r w:rsidRPr="00694CB7">
        <w:rPr>
          <w:b/>
          <w:bCs/>
        </w:rPr>
        <w:t>Section 4: What evidence have you used? </w:t>
      </w:r>
    </w:p>
    <w:p w14:paraId="249EF115" w14:textId="77777777" w:rsidR="00694CB7" w:rsidRPr="00694CB7" w:rsidRDefault="00694CB7" w:rsidP="00694CB7">
      <w:r w:rsidRPr="00694CB7">
        <w:t> </w:t>
      </w:r>
    </w:p>
    <w:p w14:paraId="00936609" w14:textId="77777777" w:rsidR="00694CB7" w:rsidRPr="00694CB7" w:rsidRDefault="00694CB7" w:rsidP="00694CB7">
      <w:r w:rsidRPr="00694CB7">
        <w:rPr>
          <w:b/>
          <w:bCs/>
        </w:rPr>
        <w:t>4.1</w:t>
      </w:r>
      <w:r w:rsidRPr="00694CB7">
        <w:tab/>
      </w:r>
      <w:r w:rsidRPr="00694CB7">
        <w:rPr>
          <w:b/>
          <w:bCs/>
        </w:rPr>
        <w:t>What evidence do you hold to back up this assessment? </w:t>
      </w:r>
      <w:r w:rsidRPr="00694CB7">
        <w:t> </w:t>
      </w:r>
    </w:p>
    <w:p w14:paraId="31BE0B9C" w14:textId="77777777" w:rsidR="00694CB7" w:rsidRPr="00694CB7" w:rsidRDefault="00694CB7" w:rsidP="00694CB7">
      <w:r w:rsidRPr="00694CB7">
        <w:t> </w:t>
      </w:r>
    </w:p>
    <w:p w14:paraId="62D03D2F" w14:textId="77777777" w:rsidR="00694CB7" w:rsidRPr="00694CB7" w:rsidRDefault="00694CB7" w:rsidP="00694CB7">
      <w:r w:rsidRPr="00694CB7">
        <w:t>To assess the potential equality impacts, the following sources have been considered: </w:t>
      </w:r>
    </w:p>
    <w:p w14:paraId="69C80D6D" w14:textId="77777777" w:rsidR="00694CB7" w:rsidRPr="00694CB7" w:rsidRDefault="00694CB7" w:rsidP="00694CB7">
      <w:pPr>
        <w:numPr>
          <w:ilvl w:val="0"/>
          <w:numId w:val="72"/>
        </w:numPr>
      </w:pPr>
      <w:r w:rsidRPr="00694CB7">
        <w:t>Workforce profile data (Bradford Children and Families Trust)  </w:t>
      </w:r>
    </w:p>
    <w:p w14:paraId="3AB7EC8F" w14:textId="77777777" w:rsidR="00694CB7" w:rsidRPr="00694CB7" w:rsidRDefault="00694CB7" w:rsidP="00694CB7">
      <w:pPr>
        <w:numPr>
          <w:ilvl w:val="0"/>
          <w:numId w:val="73"/>
        </w:numPr>
      </w:pPr>
      <w:r w:rsidRPr="00694CB7">
        <w:t>Bradford Council Equality Objectives </w:t>
      </w:r>
    </w:p>
    <w:p w14:paraId="3CFAFB3F" w14:textId="77777777" w:rsidR="00694CB7" w:rsidRPr="00694CB7" w:rsidRDefault="00694CB7" w:rsidP="00694CB7">
      <w:pPr>
        <w:numPr>
          <w:ilvl w:val="0"/>
          <w:numId w:val="74"/>
        </w:numPr>
      </w:pPr>
      <w:r w:rsidRPr="00694CB7">
        <w:t>Internal HR data </w:t>
      </w:r>
    </w:p>
    <w:p w14:paraId="03857CCD" w14:textId="77777777" w:rsidR="00694CB7" w:rsidRPr="00694CB7" w:rsidRDefault="00694CB7" w:rsidP="00694CB7">
      <w:pPr>
        <w:numPr>
          <w:ilvl w:val="0"/>
          <w:numId w:val="75"/>
        </w:numPr>
      </w:pPr>
      <w:r w:rsidRPr="00694CB7">
        <w:t>Equality Act 2010 guidance: Emphasises the need to avoid indirect discrimination in employment policies and practices. </w:t>
      </w:r>
    </w:p>
    <w:p w14:paraId="331180F1" w14:textId="77777777" w:rsidR="00694CB7" w:rsidRPr="00694CB7" w:rsidRDefault="00694CB7" w:rsidP="00694CB7">
      <w:r w:rsidRPr="00694CB7">
        <w:t> </w:t>
      </w:r>
    </w:p>
    <w:p w14:paraId="418C676E" w14:textId="77777777" w:rsidR="00694CB7" w:rsidRPr="00694CB7" w:rsidRDefault="00694CB7" w:rsidP="00694CB7">
      <w:r w:rsidRPr="00694CB7">
        <w:t>To assess the potential equality impacts of the proposal, the following sources of evidence have been considered: </w:t>
      </w:r>
    </w:p>
    <w:p w14:paraId="4268C48C" w14:textId="77777777" w:rsidR="00694CB7" w:rsidRPr="00694CB7" w:rsidRDefault="00694CB7" w:rsidP="00694CB7">
      <w:r w:rsidRPr="00694CB7">
        <w:t> </w:t>
      </w:r>
    </w:p>
    <w:p w14:paraId="484903AE" w14:textId="77777777" w:rsidR="00694CB7" w:rsidRPr="00694CB7" w:rsidRDefault="00694CB7" w:rsidP="00694CB7">
      <w:pPr>
        <w:numPr>
          <w:ilvl w:val="0"/>
          <w:numId w:val="76"/>
        </w:numPr>
      </w:pPr>
      <w:r w:rsidRPr="00694CB7">
        <w:rPr>
          <w:b/>
          <w:bCs/>
        </w:rPr>
        <w:t>Workforce Profile Data (Bradford Children and Families Trust)</w:t>
      </w:r>
      <w:r w:rsidRPr="00694CB7">
        <w:t> </w:t>
      </w:r>
      <w:r w:rsidRPr="00694CB7">
        <w:br/>
        <w:t>The business case identifies that thirty-five staff are currently employed on fixed-term contracts (FTCs). While detailed demographic data (e.g. gender, age, ethnicity) is not included in the business case, internal understanding suggests that women predominantly hold FTC roles. This informed the assessment of potential indirect discrimination based on sex. </w:t>
      </w:r>
    </w:p>
    <w:p w14:paraId="341EF55D" w14:textId="77777777" w:rsidR="00694CB7" w:rsidRPr="00694CB7" w:rsidRDefault="00694CB7" w:rsidP="00694CB7">
      <w:r w:rsidRPr="00694CB7">
        <w:t> </w:t>
      </w:r>
    </w:p>
    <w:p w14:paraId="22B7D1BF" w14:textId="77777777" w:rsidR="00694CB7" w:rsidRPr="00694CB7" w:rsidRDefault="00694CB7" w:rsidP="00694CB7">
      <w:pPr>
        <w:numPr>
          <w:ilvl w:val="0"/>
          <w:numId w:val="77"/>
        </w:numPr>
      </w:pPr>
      <w:r w:rsidRPr="00694CB7">
        <w:rPr>
          <w:b/>
          <w:bCs/>
        </w:rPr>
        <w:lastRenderedPageBreak/>
        <w:t>Internal HR Data</w:t>
      </w:r>
      <w:r w:rsidRPr="00694CB7">
        <w:t> </w:t>
      </w:r>
      <w:r w:rsidRPr="00694CB7">
        <w:br/>
        <w:t>HR has supported the identification of FTCs and provided insight into the employment patterns and risks associated with ending temporary contracts. HR also advised on redeployment processes and the need for fair and transparent decision-making. </w:t>
      </w:r>
    </w:p>
    <w:p w14:paraId="00F64184" w14:textId="77777777" w:rsidR="00694CB7" w:rsidRPr="00694CB7" w:rsidRDefault="00694CB7" w:rsidP="00694CB7">
      <w:r w:rsidRPr="00694CB7">
        <w:t> </w:t>
      </w:r>
    </w:p>
    <w:p w14:paraId="023C101E" w14:textId="77777777" w:rsidR="00694CB7" w:rsidRPr="00694CB7" w:rsidRDefault="00694CB7" w:rsidP="00694CB7">
      <w:pPr>
        <w:numPr>
          <w:ilvl w:val="0"/>
          <w:numId w:val="78"/>
        </w:numPr>
      </w:pPr>
      <w:r w:rsidRPr="00694CB7">
        <w:rPr>
          <w:b/>
          <w:bCs/>
        </w:rPr>
        <w:t>Bradford Council Equality Objectives</w:t>
      </w:r>
      <w:r w:rsidRPr="00694CB7">
        <w:t> </w:t>
      </w:r>
      <w:r w:rsidRPr="00694CB7">
        <w:br/>
        <w:t>These objectives emphasise the importance of reducing inequality, promoting fairness in employment, and ensuring that organisational change does not disproportionately affect vulnerable groups. </w:t>
      </w:r>
    </w:p>
    <w:p w14:paraId="049712E1" w14:textId="7178B559" w:rsidR="00694CB7" w:rsidRPr="00694CB7" w:rsidRDefault="00694CB7" w:rsidP="00694CB7">
      <w:r w:rsidRPr="00694CB7">
        <w:t>  </w:t>
      </w:r>
    </w:p>
    <w:p w14:paraId="32BC046D" w14:textId="77777777" w:rsidR="00694CB7" w:rsidRPr="00694CB7" w:rsidRDefault="00694CB7" w:rsidP="00694CB7">
      <w:pPr>
        <w:numPr>
          <w:ilvl w:val="0"/>
          <w:numId w:val="79"/>
        </w:numPr>
      </w:pPr>
      <w:r w:rsidRPr="00694CB7">
        <w:rPr>
          <w:b/>
          <w:bCs/>
        </w:rPr>
        <w:t>Equality Act 2010 Guidance</w:t>
      </w:r>
      <w:r w:rsidRPr="00694CB7">
        <w:t> </w:t>
      </w:r>
      <w:r w:rsidRPr="00694CB7">
        <w:br/>
        <w:t>The Equality Act requires public bodies to give due regard to eliminating discrimination, advancing equality of opportunity, and fostering good relations. The assessment has been guided by the Act’s principles, particularly around avoiding indirect discrimination in employment practices. </w:t>
      </w:r>
    </w:p>
    <w:p w14:paraId="72029665" w14:textId="77777777" w:rsidR="00694CB7" w:rsidRPr="00694CB7" w:rsidRDefault="00694CB7" w:rsidP="00694CB7">
      <w:r w:rsidRPr="00694CB7">
        <w:t> </w:t>
      </w:r>
    </w:p>
    <w:p w14:paraId="6850A7DC" w14:textId="77777777" w:rsidR="00694CB7" w:rsidRPr="00694CB7" w:rsidRDefault="00694CB7" w:rsidP="00694CB7">
      <w:pPr>
        <w:numPr>
          <w:ilvl w:val="0"/>
          <w:numId w:val="80"/>
        </w:numPr>
      </w:pPr>
      <w:r w:rsidRPr="00694CB7">
        <w:rPr>
          <w:b/>
          <w:bCs/>
        </w:rPr>
        <w:t>Business Case Document (15 July 2025)</w:t>
      </w:r>
      <w:r w:rsidRPr="00694CB7">
        <w:t> </w:t>
      </w:r>
      <w:r w:rsidRPr="00694CB7">
        <w:br/>
        <w:t>The business case itself outlines the rationale, scope, and potential impacts of the proposal. It confirms that no redundancies are currently planned, but that 35 FTC roles are in scope for review and potential non-renewal. It also acknowledges the need for monthly monitoring and HR oversight. </w:t>
      </w:r>
    </w:p>
    <w:p w14:paraId="575B6981" w14:textId="3ED21B48" w:rsidR="00694CB7" w:rsidRPr="00694CB7" w:rsidRDefault="00694CB7" w:rsidP="00694CB7">
      <w:r w:rsidRPr="00694CB7">
        <w:t>  </w:t>
      </w:r>
    </w:p>
    <w:p w14:paraId="68EB6B14" w14:textId="77777777" w:rsidR="00694CB7" w:rsidRPr="00694CB7" w:rsidRDefault="00694CB7" w:rsidP="00694CB7">
      <w:r w:rsidRPr="00694CB7">
        <w:rPr>
          <w:b/>
          <w:bCs/>
        </w:rPr>
        <w:t>4.2</w:t>
      </w:r>
      <w:r w:rsidRPr="00694CB7">
        <w:tab/>
      </w:r>
      <w:r w:rsidRPr="00694CB7">
        <w:rPr>
          <w:b/>
          <w:bCs/>
        </w:rPr>
        <w:t>Do you need further evidence?</w:t>
      </w:r>
      <w:r w:rsidRPr="00694CB7">
        <w:t> </w:t>
      </w:r>
    </w:p>
    <w:p w14:paraId="2A77C9B7" w14:textId="77777777" w:rsidR="00694CB7" w:rsidRPr="00694CB7" w:rsidRDefault="00694CB7" w:rsidP="00694CB7">
      <w:r w:rsidRPr="00694CB7">
        <w:t> </w:t>
      </w:r>
    </w:p>
    <w:p w14:paraId="50823717" w14:textId="77777777" w:rsidR="00694CB7" w:rsidRPr="00694CB7" w:rsidRDefault="00694CB7" w:rsidP="00694CB7">
      <w:r w:rsidRPr="00694CB7">
        <w:t xml:space="preserve">Yes, </w:t>
      </w:r>
      <w:r w:rsidRPr="00694CB7">
        <w:rPr>
          <w:b/>
          <w:bCs/>
        </w:rPr>
        <w:t>further evidence would strengthen the assessment</w:t>
      </w:r>
      <w:r w:rsidRPr="00694CB7">
        <w:t>, particularly in the following areas: </w:t>
      </w:r>
    </w:p>
    <w:p w14:paraId="2E883D61" w14:textId="77777777" w:rsidR="00694CB7" w:rsidRPr="00694CB7" w:rsidRDefault="00694CB7" w:rsidP="00694CB7">
      <w:r w:rsidRPr="00694CB7">
        <w:t> </w:t>
      </w:r>
    </w:p>
    <w:p w14:paraId="3BA78BC7" w14:textId="77777777" w:rsidR="00694CB7" w:rsidRPr="00694CB7" w:rsidRDefault="00694CB7" w:rsidP="00694CB7">
      <w:r w:rsidRPr="00694CB7">
        <w:t>To strengthen the assessment of equality impacts, further evidence is required in several key areas. Firstly, while the business case confirms that thirty-five fixed-term contract (FTC) roles are in scope, it does not include demographic breakdowns such as gender, age, ethnicity, or disability. Collecting and analysing this data would help determine whether any protected groups are disproportionately represented and therefore more likely to be negatively affected by the proposal. </w:t>
      </w:r>
    </w:p>
    <w:p w14:paraId="25AA2D75" w14:textId="77777777" w:rsidR="00694CB7" w:rsidRPr="00694CB7" w:rsidRDefault="00694CB7" w:rsidP="00694CB7">
      <w:r w:rsidRPr="00694CB7">
        <w:t>Secondly, understanding whether these FTC roles are concentrated in lower pay bands would support the assessment of impact on low-income staff and help identify any links to gender or age-related inequalities. Thirdly, identifying whether any FTC staff are currently on or due to take maternity or parental leave would be essential in assessing the risk of discrimination related to pregnancy and maternity. Finally, gathering feedback from affected staff or trade unions could provide valuable insight into perceived fairness, unintended consequences, and opportunities for mitigation. This qualitative evidence would complement the quantitative data and ensure that the Trust’s decisions are informed, inclusive, and legally compliant. </w:t>
      </w:r>
    </w:p>
    <w:p w14:paraId="0C9EA505" w14:textId="77777777" w:rsidR="00694CB7" w:rsidRPr="00694CB7" w:rsidRDefault="00694CB7" w:rsidP="00694CB7">
      <w:pPr>
        <w:rPr>
          <w:b/>
          <w:bCs/>
        </w:rPr>
      </w:pPr>
      <w:r w:rsidRPr="00694CB7">
        <w:rPr>
          <w:b/>
          <w:bCs/>
        </w:rPr>
        <w:lastRenderedPageBreak/>
        <w:t>Section 5: Consultation Feedback </w:t>
      </w:r>
    </w:p>
    <w:p w14:paraId="3D2D572E" w14:textId="77777777" w:rsidR="00694CB7" w:rsidRPr="00694CB7" w:rsidRDefault="00694CB7" w:rsidP="00694CB7">
      <w:r w:rsidRPr="00694CB7">
        <w:t> </w:t>
      </w:r>
    </w:p>
    <w:p w14:paraId="0F76598E" w14:textId="77777777" w:rsidR="00694CB7" w:rsidRPr="00694CB7" w:rsidRDefault="00694CB7" w:rsidP="00694CB7">
      <w:r w:rsidRPr="00694CB7">
        <w:t> </w:t>
      </w:r>
    </w:p>
    <w:p w14:paraId="4A5647E5" w14:textId="77777777" w:rsidR="00694CB7" w:rsidRPr="00694CB7" w:rsidRDefault="00694CB7" w:rsidP="00694CB7">
      <w:r w:rsidRPr="00694CB7">
        <w:rPr>
          <w:b/>
          <w:bCs/>
        </w:rPr>
        <w:t>5.1</w:t>
      </w:r>
      <w:r w:rsidRPr="00694CB7">
        <w:tab/>
      </w:r>
      <w:r w:rsidRPr="00694CB7">
        <w:rPr>
          <w:b/>
          <w:bCs/>
        </w:rPr>
        <w:t>Results from any previous consultations prior to the proposal development.</w:t>
      </w:r>
      <w:r w:rsidRPr="00694CB7">
        <w:t> </w:t>
      </w:r>
    </w:p>
    <w:p w14:paraId="6B10F594" w14:textId="77777777" w:rsidR="00694CB7" w:rsidRPr="00694CB7" w:rsidRDefault="00694CB7" w:rsidP="00694CB7">
      <w:r w:rsidRPr="00694CB7">
        <w:t> </w:t>
      </w:r>
    </w:p>
    <w:p w14:paraId="04AA235C" w14:textId="77777777" w:rsidR="00694CB7" w:rsidRPr="00694CB7" w:rsidRDefault="00694CB7" w:rsidP="00694CB7">
      <w:r w:rsidRPr="00694CB7">
        <w:t>No formal consultation with protected groups or key stakeholders took place prior to the development of the proposal. While internal services such as HR and Heads of Service were engaged in early planning, there is currently has not been engagement with staff representatives, unions, or equality networks. The Trust will need to undertake targeted consultation, particularly with groups likely to be disproportionately affected (e.g. women, low-paid staff, and those on maternity leave). </w:t>
      </w:r>
    </w:p>
    <w:p w14:paraId="0E1B25D1" w14:textId="77777777" w:rsidR="00694CB7" w:rsidRPr="00694CB7" w:rsidRDefault="00694CB7" w:rsidP="00694CB7">
      <w:r w:rsidRPr="00694CB7">
        <w:t> </w:t>
      </w:r>
    </w:p>
    <w:p w14:paraId="4286688A" w14:textId="77777777" w:rsidR="00694CB7" w:rsidRPr="00694CB7" w:rsidRDefault="00694CB7" w:rsidP="00694CB7">
      <w:r w:rsidRPr="00694CB7">
        <w:rPr>
          <w:b/>
          <w:bCs/>
        </w:rPr>
        <w:t>5.2</w:t>
      </w:r>
      <w:r w:rsidRPr="00694CB7">
        <w:tab/>
      </w:r>
      <w:r w:rsidRPr="00694CB7">
        <w:rPr>
          <w:b/>
          <w:bCs/>
        </w:rPr>
        <w:t xml:space="preserve">The departmental feedback you provided on the previous consultation (as at </w:t>
      </w:r>
      <w:r w:rsidRPr="00694CB7">
        <w:tab/>
      </w:r>
      <w:r w:rsidRPr="00694CB7">
        <w:rPr>
          <w:b/>
          <w:bCs/>
        </w:rPr>
        <w:t>5.1).</w:t>
      </w:r>
      <w:r w:rsidRPr="00694CB7">
        <w:t> </w:t>
      </w:r>
    </w:p>
    <w:p w14:paraId="39655704" w14:textId="77777777" w:rsidR="00694CB7" w:rsidRPr="00694CB7" w:rsidRDefault="00694CB7" w:rsidP="00694CB7">
      <w:r w:rsidRPr="00694CB7">
        <w:t> </w:t>
      </w:r>
    </w:p>
    <w:p w14:paraId="7FC808F8" w14:textId="77777777" w:rsidR="00694CB7" w:rsidRPr="00694CB7" w:rsidRDefault="00694CB7" w:rsidP="00694CB7">
      <w:r w:rsidRPr="00694CB7">
        <w:t> </w:t>
      </w:r>
    </w:p>
    <w:p w14:paraId="380D0E1A" w14:textId="77777777" w:rsidR="00694CB7" w:rsidRPr="00694CB7" w:rsidRDefault="00694CB7" w:rsidP="00694CB7">
      <w:r w:rsidRPr="00694CB7">
        <w:t>Internal engagement has taken place with the following departments: </w:t>
      </w:r>
    </w:p>
    <w:p w14:paraId="67E2C699" w14:textId="77777777" w:rsidR="00694CB7" w:rsidRPr="00694CB7" w:rsidRDefault="00694CB7" w:rsidP="00694CB7">
      <w:r w:rsidRPr="00694CB7">
        <w:t> </w:t>
      </w:r>
    </w:p>
    <w:p w14:paraId="01E9BC8B" w14:textId="77777777" w:rsidR="00694CB7" w:rsidRPr="00694CB7" w:rsidRDefault="00694CB7" w:rsidP="00694CB7">
      <w:pPr>
        <w:numPr>
          <w:ilvl w:val="0"/>
          <w:numId w:val="81"/>
        </w:numPr>
      </w:pPr>
      <w:r w:rsidRPr="00694CB7">
        <w:t>Human Resources (HR): Provided workforce data and supported the identification of FTCs. HR also advised on redeployment processes and the need for fair and transparent decision-making. HR and Heads of Service acknowledged the operational risks of ending FTCs and the need for early communication with affected staff. </w:t>
      </w:r>
    </w:p>
    <w:p w14:paraId="7EF2D59E" w14:textId="77777777" w:rsidR="00694CB7" w:rsidRPr="00694CB7" w:rsidRDefault="00694CB7" w:rsidP="00694CB7">
      <w:r w:rsidRPr="00694CB7">
        <w:t> </w:t>
      </w:r>
    </w:p>
    <w:p w14:paraId="44FA0649" w14:textId="77777777" w:rsidR="00694CB7" w:rsidRPr="00694CB7" w:rsidRDefault="00694CB7" w:rsidP="00694CB7">
      <w:pPr>
        <w:numPr>
          <w:ilvl w:val="0"/>
          <w:numId w:val="82"/>
        </w:numPr>
      </w:pPr>
      <w:r w:rsidRPr="00694CB7">
        <w:t>Finance: Reviewed the financial implications and validated the estimated savings of £133k. Finance emphasised the importance of avoiding double-counting savings and ensuring alignment with the Medium-Term Financial Strategy. </w:t>
      </w:r>
    </w:p>
    <w:p w14:paraId="46D0010D" w14:textId="77777777" w:rsidR="00694CB7" w:rsidRPr="00694CB7" w:rsidRDefault="00694CB7" w:rsidP="00694CB7">
      <w:r w:rsidRPr="00694CB7">
        <w:t> </w:t>
      </w:r>
    </w:p>
    <w:p w14:paraId="34C52418" w14:textId="77777777" w:rsidR="00694CB7" w:rsidRPr="00694CB7" w:rsidRDefault="00694CB7" w:rsidP="00694CB7">
      <w:r w:rsidRPr="00694CB7">
        <w:t> </w:t>
      </w:r>
    </w:p>
    <w:p w14:paraId="0A06746E" w14:textId="77777777" w:rsidR="00694CB7" w:rsidRPr="00694CB7" w:rsidRDefault="00694CB7" w:rsidP="00694CB7">
      <w:pPr>
        <w:numPr>
          <w:ilvl w:val="0"/>
          <w:numId w:val="83"/>
        </w:numPr>
      </w:pPr>
      <w:r w:rsidRPr="00694CB7">
        <w:t>Heads of Service: Engaged to assess operational risks and identify FTCs that could potentially end without service disruption. </w:t>
      </w:r>
    </w:p>
    <w:p w14:paraId="34AD4CEB" w14:textId="77777777" w:rsidR="00694CB7" w:rsidRPr="00694CB7" w:rsidRDefault="00694CB7" w:rsidP="00694CB7">
      <w:r w:rsidRPr="00694CB7">
        <w:t> </w:t>
      </w:r>
    </w:p>
    <w:p w14:paraId="776CAC9C" w14:textId="77777777" w:rsidR="00694CB7" w:rsidRPr="00694CB7" w:rsidRDefault="00694CB7" w:rsidP="00694CB7">
      <w:r w:rsidRPr="00694CB7">
        <w:t> </w:t>
      </w:r>
    </w:p>
    <w:p w14:paraId="1F26C353" w14:textId="77777777" w:rsidR="00694CB7" w:rsidRPr="00694CB7" w:rsidRDefault="00694CB7" w:rsidP="00694CB7">
      <w:r w:rsidRPr="00694CB7">
        <w:rPr>
          <w:b/>
          <w:bCs/>
        </w:rPr>
        <w:t>5.3</w:t>
      </w:r>
      <w:r w:rsidRPr="00694CB7">
        <w:tab/>
      </w:r>
      <w:r w:rsidRPr="00694CB7">
        <w:rPr>
          <w:b/>
          <w:bCs/>
        </w:rPr>
        <w:t>Feedback from current consultation following the proposal development (e.g. following approval by Executive for budget consultation).</w:t>
      </w:r>
      <w:r w:rsidRPr="00694CB7">
        <w:t> </w:t>
      </w:r>
    </w:p>
    <w:p w14:paraId="2D201B4C" w14:textId="77777777" w:rsidR="00694CB7" w:rsidRPr="00694CB7" w:rsidRDefault="00694CB7" w:rsidP="00694CB7">
      <w:r w:rsidRPr="00694CB7">
        <w:t>N/A </w:t>
      </w:r>
    </w:p>
    <w:p w14:paraId="43C40BC6" w14:textId="77777777" w:rsidR="00694CB7" w:rsidRPr="00694CB7" w:rsidRDefault="00694CB7" w:rsidP="00694CB7">
      <w:r w:rsidRPr="00694CB7">
        <w:lastRenderedPageBreak/>
        <w:t> </w:t>
      </w:r>
    </w:p>
    <w:p w14:paraId="53048A9D" w14:textId="77777777" w:rsidR="00694CB7" w:rsidRPr="00694CB7" w:rsidRDefault="00694CB7" w:rsidP="00694CB7">
      <w:r w:rsidRPr="00694CB7">
        <w:rPr>
          <w:b/>
          <w:bCs/>
        </w:rPr>
        <w:t>5.4</w:t>
      </w:r>
      <w:r w:rsidRPr="00694CB7">
        <w:tab/>
      </w:r>
      <w:r w:rsidRPr="00694CB7">
        <w:rPr>
          <w:b/>
          <w:bCs/>
        </w:rPr>
        <w:t xml:space="preserve">Your departmental response to the feedback on the current consultation (as at 5.3) – include any changes made to the proposal </w:t>
      </w:r>
      <w:proofErr w:type="gramStart"/>
      <w:r w:rsidRPr="00694CB7">
        <w:rPr>
          <w:b/>
          <w:bCs/>
        </w:rPr>
        <w:t>as a result of</w:t>
      </w:r>
      <w:proofErr w:type="gramEnd"/>
      <w:r w:rsidRPr="00694CB7">
        <w:rPr>
          <w:b/>
          <w:bCs/>
        </w:rPr>
        <w:t xml:space="preserve"> the feedback.</w:t>
      </w:r>
      <w:r w:rsidRPr="00694CB7">
        <w:t> </w:t>
      </w:r>
    </w:p>
    <w:p w14:paraId="70468126" w14:textId="77777777" w:rsidR="00694CB7" w:rsidRPr="00694CB7" w:rsidRDefault="00694CB7" w:rsidP="00694CB7">
      <w:r w:rsidRPr="00694CB7">
        <w:t>N/A </w:t>
      </w:r>
    </w:p>
    <w:p w14:paraId="5BD58005" w14:textId="77777777" w:rsidR="00694CB7" w:rsidRPr="00694CB7" w:rsidRDefault="00694CB7" w:rsidP="00694CB7">
      <w:r w:rsidRPr="00694CB7">
        <w:t> </w:t>
      </w:r>
    </w:p>
    <w:p w14:paraId="289D2B57" w14:textId="77777777" w:rsidR="00694CB7" w:rsidRPr="00694CB7" w:rsidRDefault="00694CB7" w:rsidP="00694CB7">
      <w:r w:rsidRPr="00694CB7">
        <w:t> </w:t>
      </w:r>
    </w:p>
    <w:p w14:paraId="343EB0C5" w14:textId="77777777" w:rsidR="00694CB7" w:rsidRPr="003D08D9" w:rsidRDefault="00694CB7" w:rsidP="003D08D9"/>
    <w:sectPr w:rsidR="00694CB7" w:rsidRPr="003D08D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4B"/>
    <w:multiLevelType w:val="multilevel"/>
    <w:tmpl w:val="25A0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F10B8"/>
    <w:multiLevelType w:val="multilevel"/>
    <w:tmpl w:val="4BF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177A2"/>
    <w:multiLevelType w:val="multilevel"/>
    <w:tmpl w:val="A9C44B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D6190"/>
    <w:multiLevelType w:val="multilevel"/>
    <w:tmpl w:val="150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73657"/>
    <w:multiLevelType w:val="multilevel"/>
    <w:tmpl w:val="E0B6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E0BA4"/>
    <w:multiLevelType w:val="multilevel"/>
    <w:tmpl w:val="75AA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550BD5"/>
    <w:multiLevelType w:val="multilevel"/>
    <w:tmpl w:val="422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830A6B"/>
    <w:multiLevelType w:val="multilevel"/>
    <w:tmpl w:val="9F9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BC7D54"/>
    <w:multiLevelType w:val="multilevel"/>
    <w:tmpl w:val="B53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703BDE"/>
    <w:multiLevelType w:val="multilevel"/>
    <w:tmpl w:val="F94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1C679B"/>
    <w:multiLevelType w:val="multilevel"/>
    <w:tmpl w:val="F4364AE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8727C"/>
    <w:multiLevelType w:val="multilevel"/>
    <w:tmpl w:val="7D9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1E14C3"/>
    <w:multiLevelType w:val="multilevel"/>
    <w:tmpl w:val="6F0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745B1F"/>
    <w:multiLevelType w:val="multilevel"/>
    <w:tmpl w:val="070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146820"/>
    <w:multiLevelType w:val="multilevel"/>
    <w:tmpl w:val="B6E8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675265"/>
    <w:multiLevelType w:val="multilevel"/>
    <w:tmpl w:val="8568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7D228A"/>
    <w:multiLevelType w:val="multilevel"/>
    <w:tmpl w:val="974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276F2"/>
    <w:multiLevelType w:val="multilevel"/>
    <w:tmpl w:val="09A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7478A9"/>
    <w:multiLevelType w:val="multilevel"/>
    <w:tmpl w:val="5F78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9726EF"/>
    <w:multiLevelType w:val="multilevel"/>
    <w:tmpl w:val="D63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462DC2"/>
    <w:multiLevelType w:val="multilevel"/>
    <w:tmpl w:val="750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6C2D55"/>
    <w:multiLevelType w:val="multilevel"/>
    <w:tmpl w:val="A4B8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13127E"/>
    <w:multiLevelType w:val="multilevel"/>
    <w:tmpl w:val="4E2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3F4321"/>
    <w:multiLevelType w:val="multilevel"/>
    <w:tmpl w:val="0EF0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863671"/>
    <w:multiLevelType w:val="multilevel"/>
    <w:tmpl w:val="72F8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BB2BD8"/>
    <w:multiLevelType w:val="multilevel"/>
    <w:tmpl w:val="895AB2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D75066"/>
    <w:multiLevelType w:val="multilevel"/>
    <w:tmpl w:val="46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685B91"/>
    <w:multiLevelType w:val="multilevel"/>
    <w:tmpl w:val="225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6B349F"/>
    <w:multiLevelType w:val="multilevel"/>
    <w:tmpl w:val="DA24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5260B1"/>
    <w:multiLevelType w:val="multilevel"/>
    <w:tmpl w:val="5D8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A51B6D"/>
    <w:multiLevelType w:val="multilevel"/>
    <w:tmpl w:val="D590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525537"/>
    <w:multiLevelType w:val="multilevel"/>
    <w:tmpl w:val="EC1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664693"/>
    <w:multiLevelType w:val="multilevel"/>
    <w:tmpl w:val="90E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8906B8"/>
    <w:multiLevelType w:val="multilevel"/>
    <w:tmpl w:val="FE3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1B4C55"/>
    <w:multiLevelType w:val="multilevel"/>
    <w:tmpl w:val="51C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2F2FBC"/>
    <w:multiLevelType w:val="multilevel"/>
    <w:tmpl w:val="FDE0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7F30F8"/>
    <w:multiLevelType w:val="multilevel"/>
    <w:tmpl w:val="B6E6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166E3D"/>
    <w:multiLevelType w:val="multilevel"/>
    <w:tmpl w:val="C49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2077D1"/>
    <w:multiLevelType w:val="multilevel"/>
    <w:tmpl w:val="A43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9D20B6"/>
    <w:multiLevelType w:val="multilevel"/>
    <w:tmpl w:val="5FD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2D780E"/>
    <w:multiLevelType w:val="multilevel"/>
    <w:tmpl w:val="0210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822D23"/>
    <w:multiLevelType w:val="multilevel"/>
    <w:tmpl w:val="9F94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FC053F"/>
    <w:multiLevelType w:val="multilevel"/>
    <w:tmpl w:val="E21A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C817D0"/>
    <w:multiLevelType w:val="multilevel"/>
    <w:tmpl w:val="97E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A5249F"/>
    <w:multiLevelType w:val="multilevel"/>
    <w:tmpl w:val="37B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F7A72A8"/>
    <w:multiLevelType w:val="multilevel"/>
    <w:tmpl w:val="AFB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4C6ED6"/>
    <w:multiLevelType w:val="multilevel"/>
    <w:tmpl w:val="953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09143CB"/>
    <w:multiLevelType w:val="multilevel"/>
    <w:tmpl w:val="1F1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1022135"/>
    <w:multiLevelType w:val="multilevel"/>
    <w:tmpl w:val="384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28479D3"/>
    <w:multiLevelType w:val="multilevel"/>
    <w:tmpl w:val="F314E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A71B07"/>
    <w:multiLevelType w:val="multilevel"/>
    <w:tmpl w:val="0876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DA49AF"/>
    <w:multiLevelType w:val="multilevel"/>
    <w:tmpl w:val="EBE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5D5A3D"/>
    <w:multiLevelType w:val="multilevel"/>
    <w:tmpl w:val="5B6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81572A"/>
    <w:multiLevelType w:val="multilevel"/>
    <w:tmpl w:val="5248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F8D1A1B"/>
    <w:multiLevelType w:val="multilevel"/>
    <w:tmpl w:val="6FB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0C1237"/>
    <w:multiLevelType w:val="multilevel"/>
    <w:tmpl w:val="F142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61A7BE4"/>
    <w:multiLevelType w:val="multilevel"/>
    <w:tmpl w:val="5DA2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A471ED"/>
    <w:multiLevelType w:val="multilevel"/>
    <w:tmpl w:val="D8F4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393FB2"/>
    <w:multiLevelType w:val="multilevel"/>
    <w:tmpl w:val="8FF6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8D2CCF"/>
    <w:multiLevelType w:val="multilevel"/>
    <w:tmpl w:val="801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4F0231"/>
    <w:multiLevelType w:val="multilevel"/>
    <w:tmpl w:val="A6E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CF1035"/>
    <w:multiLevelType w:val="multilevel"/>
    <w:tmpl w:val="E724D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3B1DCD"/>
    <w:multiLevelType w:val="multilevel"/>
    <w:tmpl w:val="D57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F562C4"/>
    <w:multiLevelType w:val="multilevel"/>
    <w:tmpl w:val="977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BC4C3A"/>
    <w:multiLevelType w:val="multilevel"/>
    <w:tmpl w:val="47EA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1A01E6"/>
    <w:multiLevelType w:val="multilevel"/>
    <w:tmpl w:val="F61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385B30"/>
    <w:multiLevelType w:val="multilevel"/>
    <w:tmpl w:val="20C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761037"/>
    <w:multiLevelType w:val="multilevel"/>
    <w:tmpl w:val="70F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7243BE"/>
    <w:multiLevelType w:val="multilevel"/>
    <w:tmpl w:val="46FC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0C53AB"/>
    <w:multiLevelType w:val="multilevel"/>
    <w:tmpl w:val="1C4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4A628A"/>
    <w:multiLevelType w:val="multilevel"/>
    <w:tmpl w:val="1EA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51C1479"/>
    <w:multiLevelType w:val="multilevel"/>
    <w:tmpl w:val="1F90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70496E"/>
    <w:multiLevelType w:val="multilevel"/>
    <w:tmpl w:val="A3A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8B51F7"/>
    <w:multiLevelType w:val="multilevel"/>
    <w:tmpl w:val="5862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CF13B6"/>
    <w:multiLevelType w:val="multilevel"/>
    <w:tmpl w:val="D8D8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A10C9D"/>
    <w:multiLevelType w:val="multilevel"/>
    <w:tmpl w:val="489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92126C4"/>
    <w:multiLevelType w:val="multilevel"/>
    <w:tmpl w:val="E90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F15D4F"/>
    <w:multiLevelType w:val="multilevel"/>
    <w:tmpl w:val="F8CE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363995"/>
    <w:multiLevelType w:val="multilevel"/>
    <w:tmpl w:val="8EAC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B583FB6"/>
    <w:multiLevelType w:val="multilevel"/>
    <w:tmpl w:val="E7E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186D1A"/>
    <w:multiLevelType w:val="multilevel"/>
    <w:tmpl w:val="891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EA00F8"/>
    <w:multiLevelType w:val="multilevel"/>
    <w:tmpl w:val="C72452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A962E1"/>
    <w:multiLevelType w:val="multilevel"/>
    <w:tmpl w:val="60C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6034308">
    <w:abstractNumId w:val="59"/>
  </w:num>
  <w:num w:numId="2" w16cid:durableId="320432466">
    <w:abstractNumId w:val="11"/>
  </w:num>
  <w:num w:numId="3" w16cid:durableId="47194441">
    <w:abstractNumId w:val="70"/>
  </w:num>
  <w:num w:numId="4" w16cid:durableId="513612650">
    <w:abstractNumId w:val="7"/>
  </w:num>
  <w:num w:numId="5" w16cid:durableId="572814451">
    <w:abstractNumId w:val="57"/>
  </w:num>
  <w:num w:numId="6" w16cid:durableId="749011538">
    <w:abstractNumId w:val="36"/>
  </w:num>
  <w:num w:numId="7" w16cid:durableId="2023583691">
    <w:abstractNumId w:val="16"/>
  </w:num>
  <w:num w:numId="8" w16cid:durableId="863858869">
    <w:abstractNumId w:val="60"/>
  </w:num>
  <w:num w:numId="9" w16cid:durableId="1023552215">
    <w:abstractNumId w:val="55"/>
  </w:num>
  <w:num w:numId="10" w16cid:durableId="1697996668">
    <w:abstractNumId w:val="77"/>
  </w:num>
  <w:num w:numId="11" w16cid:durableId="484593963">
    <w:abstractNumId w:val="61"/>
  </w:num>
  <w:num w:numId="12" w16cid:durableId="1655179755">
    <w:abstractNumId w:val="49"/>
  </w:num>
  <w:num w:numId="13" w16cid:durableId="1352418479">
    <w:abstractNumId w:val="43"/>
  </w:num>
  <w:num w:numId="14" w16cid:durableId="276985676">
    <w:abstractNumId w:val="9"/>
  </w:num>
  <w:num w:numId="15" w16cid:durableId="328292332">
    <w:abstractNumId w:val="39"/>
  </w:num>
  <w:num w:numId="16" w16cid:durableId="1275477830">
    <w:abstractNumId w:val="13"/>
  </w:num>
  <w:num w:numId="17" w16cid:durableId="223299462">
    <w:abstractNumId w:val="31"/>
  </w:num>
  <w:num w:numId="18" w16cid:durableId="916674582">
    <w:abstractNumId w:val="30"/>
  </w:num>
  <w:num w:numId="19" w16cid:durableId="883904696">
    <w:abstractNumId w:val="21"/>
  </w:num>
  <w:num w:numId="20" w16cid:durableId="322469400">
    <w:abstractNumId w:val="58"/>
  </w:num>
  <w:num w:numId="21" w16cid:durableId="1983148370">
    <w:abstractNumId w:val="34"/>
  </w:num>
  <w:num w:numId="22" w16cid:durableId="1299650608">
    <w:abstractNumId w:val="63"/>
  </w:num>
  <w:num w:numId="23" w16cid:durableId="97020783">
    <w:abstractNumId w:val="20"/>
  </w:num>
  <w:num w:numId="24" w16cid:durableId="1207838599">
    <w:abstractNumId w:val="65"/>
  </w:num>
  <w:num w:numId="25" w16cid:durableId="513034046">
    <w:abstractNumId w:val="79"/>
  </w:num>
  <w:num w:numId="26" w16cid:durableId="2070151405">
    <w:abstractNumId w:val="28"/>
  </w:num>
  <w:num w:numId="27" w16cid:durableId="2132631083">
    <w:abstractNumId w:val="66"/>
  </w:num>
  <w:num w:numId="28" w16cid:durableId="1655641630">
    <w:abstractNumId w:val="27"/>
  </w:num>
  <w:num w:numId="29" w16cid:durableId="1836188788">
    <w:abstractNumId w:val="48"/>
  </w:num>
  <w:num w:numId="30" w16cid:durableId="1306667689">
    <w:abstractNumId w:val="72"/>
  </w:num>
  <w:num w:numId="31" w16cid:durableId="1236404117">
    <w:abstractNumId w:val="29"/>
  </w:num>
  <w:num w:numId="32" w16cid:durableId="2010518620">
    <w:abstractNumId w:val="6"/>
  </w:num>
  <w:num w:numId="33" w16cid:durableId="1187598505">
    <w:abstractNumId w:val="12"/>
  </w:num>
  <w:num w:numId="34" w16cid:durableId="211381553">
    <w:abstractNumId w:val="40"/>
  </w:num>
  <w:num w:numId="35" w16cid:durableId="2023817955">
    <w:abstractNumId w:val="32"/>
  </w:num>
  <w:num w:numId="36" w16cid:durableId="91901109">
    <w:abstractNumId w:val="44"/>
  </w:num>
  <w:num w:numId="37" w16cid:durableId="1259754037">
    <w:abstractNumId w:val="0"/>
  </w:num>
  <w:num w:numId="38" w16cid:durableId="1855268544">
    <w:abstractNumId w:val="8"/>
  </w:num>
  <w:num w:numId="39" w16cid:durableId="2120484048">
    <w:abstractNumId w:val="17"/>
  </w:num>
  <w:num w:numId="40" w16cid:durableId="657809732">
    <w:abstractNumId w:val="51"/>
  </w:num>
  <w:num w:numId="41" w16cid:durableId="1536191533">
    <w:abstractNumId w:val="62"/>
  </w:num>
  <w:num w:numId="42" w16cid:durableId="2051101442">
    <w:abstractNumId w:val="82"/>
  </w:num>
  <w:num w:numId="43" w16cid:durableId="840240546">
    <w:abstractNumId w:val="50"/>
  </w:num>
  <w:num w:numId="44" w16cid:durableId="1815633401">
    <w:abstractNumId w:val="33"/>
  </w:num>
  <w:num w:numId="45" w16cid:durableId="278532034">
    <w:abstractNumId w:val="69"/>
  </w:num>
  <w:num w:numId="46" w16cid:durableId="579171855">
    <w:abstractNumId w:val="42"/>
  </w:num>
  <w:num w:numId="47" w16cid:durableId="1923292271">
    <w:abstractNumId w:val="37"/>
  </w:num>
  <w:num w:numId="48" w16cid:durableId="1288001190">
    <w:abstractNumId w:val="2"/>
  </w:num>
  <w:num w:numId="49" w16cid:durableId="945037317">
    <w:abstractNumId w:val="41"/>
  </w:num>
  <w:num w:numId="50" w16cid:durableId="1650548774">
    <w:abstractNumId w:val="35"/>
  </w:num>
  <w:num w:numId="51" w16cid:durableId="201093792">
    <w:abstractNumId w:val="25"/>
  </w:num>
  <w:num w:numId="52" w16cid:durableId="1691223260">
    <w:abstractNumId w:val="54"/>
  </w:num>
  <w:num w:numId="53" w16cid:durableId="609700177">
    <w:abstractNumId w:val="68"/>
  </w:num>
  <w:num w:numId="54" w16cid:durableId="848983722">
    <w:abstractNumId w:val="78"/>
  </w:num>
  <w:num w:numId="55" w16cid:durableId="1240410736">
    <w:abstractNumId w:val="19"/>
  </w:num>
  <w:num w:numId="56" w16cid:durableId="163130845">
    <w:abstractNumId w:val="10"/>
  </w:num>
  <w:num w:numId="57" w16cid:durableId="401368477">
    <w:abstractNumId w:val="81"/>
  </w:num>
  <w:num w:numId="58" w16cid:durableId="620766234">
    <w:abstractNumId w:val="47"/>
  </w:num>
  <w:num w:numId="59" w16cid:durableId="853692088">
    <w:abstractNumId w:val="67"/>
  </w:num>
  <w:num w:numId="60" w16cid:durableId="1061446773">
    <w:abstractNumId w:val="3"/>
  </w:num>
  <w:num w:numId="61" w16cid:durableId="1888296471">
    <w:abstractNumId w:val="5"/>
  </w:num>
  <w:num w:numId="62" w16cid:durableId="1392582469">
    <w:abstractNumId w:val="46"/>
  </w:num>
  <w:num w:numId="63" w16cid:durableId="1753307865">
    <w:abstractNumId w:val="71"/>
  </w:num>
  <w:num w:numId="64" w16cid:durableId="527722465">
    <w:abstractNumId w:val="38"/>
  </w:num>
  <w:num w:numId="65" w16cid:durableId="1409226311">
    <w:abstractNumId w:val="26"/>
  </w:num>
  <w:num w:numId="66" w16cid:durableId="402529031">
    <w:abstractNumId w:val="80"/>
  </w:num>
  <w:num w:numId="67" w16cid:durableId="2024552806">
    <w:abstractNumId w:val="73"/>
  </w:num>
  <w:num w:numId="68" w16cid:durableId="631637173">
    <w:abstractNumId w:val="52"/>
  </w:num>
  <w:num w:numId="69" w16cid:durableId="1591548362">
    <w:abstractNumId w:val="76"/>
  </w:num>
  <w:num w:numId="70" w16cid:durableId="925261817">
    <w:abstractNumId w:val="75"/>
  </w:num>
  <w:num w:numId="71" w16cid:durableId="857354529">
    <w:abstractNumId w:val="4"/>
  </w:num>
  <w:num w:numId="72" w16cid:durableId="802842556">
    <w:abstractNumId w:val="74"/>
  </w:num>
  <w:num w:numId="73" w16cid:durableId="1498112145">
    <w:abstractNumId w:val="1"/>
  </w:num>
  <w:num w:numId="74" w16cid:durableId="1818917705">
    <w:abstractNumId w:val="23"/>
  </w:num>
  <w:num w:numId="75" w16cid:durableId="2041709886">
    <w:abstractNumId w:val="15"/>
  </w:num>
  <w:num w:numId="76" w16cid:durableId="1869440501">
    <w:abstractNumId w:val="18"/>
  </w:num>
  <w:num w:numId="77" w16cid:durableId="616958412">
    <w:abstractNumId w:val="45"/>
  </w:num>
  <w:num w:numId="78" w16cid:durableId="1849515237">
    <w:abstractNumId w:val="56"/>
  </w:num>
  <w:num w:numId="79" w16cid:durableId="1258100051">
    <w:abstractNumId w:val="64"/>
  </w:num>
  <w:num w:numId="80" w16cid:durableId="1164123622">
    <w:abstractNumId w:val="22"/>
  </w:num>
  <w:num w:numId="81" w16cid:durableId="1431773046">
    <w:abstractNumId w:val="53"/>
  </w:num>
  <w:num w:numId="82" w16cid:durableId="242105082">
    <w:abstractNumId w:val="24"/>
  </w:num>
  <w:num w:numId="83" w16cid:durableId="81803954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33068"/>
    <w:rsid w:val="0019697F"/>
    <w:rsid w:val="0022076A"/>
    <w:rsid w:val="00263E3E"/>
    <w:rsid w:val="002E3437"/>
    <w:rsid w:val="00374754"/>
    <w:rsid w:val="003D08D9"/>
    <w:rsid w:val="0051121A"/>
    <w:rsid w:val="00566962"/>
    <w:rsid w:val="005912A8"/>
    <w:rsid w:val="005E3580"/>
    <w:rsid w:val="00666DB0"/>
    <w:rsid w:val="00694CB7"/>
    <w:rsid w:val="006C07E5"/>
    <w:rsid w:val="006C7F15"/>
    <w:rsid w:val="00732DE2"/>
    <w:rsid w:val="00760D64"/>
    <w:rsid w:val="007A5089"/>
    <w:rsid w:val="007E3DB1"/>
    <w:rsid w:val="007F7454"/>
    <w:rsid w:val="00895D95"/>
    <w:rsid w:val="008B49A1"/>
    <w:rsid w:val="008C4303"/>
    <w:rsid w:val="008D754D"/>
    <w:rsid w:val="00953D1F"/>
    <w:rsid w:val="00A24607"/>
    <w:rsid w:val="00A43554"/>
    <w:rsid w:val="00A678BE"/>
    <w:rsid w:val="00AE6FB6"/>
    <w:rsid w:val="00B57C5E"/>
    <w:rsid w:val="00BA7A81"/>
    <w:rsid w:val="00C649C5"/>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2519</Words>
  <Characters>14787</Characters>
  <Application>Microsoft Office Word</Application>
  <DocSecurity>0</DocSecurity>
  <Lines>985</Lines>
  <Paragraphs>721</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2025-10-29T11:16:00Z</dcterms:created>
  <dcterms:modified xsi:type="dcterms:W3CDTF">2025-10-29T11:16:00Z</dcterms:modified>
</cp:coreProperties>
</file>