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291E2550">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4BE243DB" w:rsidRDefault="00F32E08" w14:paraId="6791B433" w14:textId="0B2641EB">
      <w:pPr>
        <w:tabs>
          <w:tab w:val="right" w:pos="9638"/>
        </w:tabs>
        <w:rPr>
          <w:rFonts w:ascii="Arial" w:hAnsi="Arial" w:cs="Arial"/>
          <w:b w:val="1"/>
          <w:bCs w:val="1"/>
          <w:sz w:val="28"/>
          <w:szCs w:val="28"/>
        </w:rPr>
      </w:pPr>
      <w:r w:rsidRPr="4BE243DB" w:rsidR="51C4DBD4">
        <w:rPr>
          <w:rStyle w:val="Heading1Char"/>
        </w:rPr>
        <w:t>Equality</w:t>
      </w:r>
      <w:r w:rsidRPr="4BE243DB" w:rsidR="36B13331">
        <w:rPr>
          <w:rStyle w:val="Heading1Char"/>
        </w:rPr>
        <w:t xml:space="preserve"> Impact Assessmen</w:t>
      </w:r>
      <w:r w:rsidRPr="4BE243DB" w:rsidR="3597EC35">
        <w:rPr>
          <w:rStyle w:val="Heading1Char"/>
        </w:rPr>
        <w:t>t Form</w:t>
      </w:r>
      <w:r w:rsidRPr="4BE243DB" w:rsidR="3597EC35">
        <w:rPr>
          <w:rFonts w:ascii="Arial" w:hAnsi="Arial" w:cs="Arial"/>
          <w:b w:val="1"/>
          <w:bCs w:val="1"/>
          <w:sz w:val="28"/>
          <w:szCs w:val="28"/>
        </w:rPr>
        <w:t xml:space="preserve"> </w:t>
      </w:r>
      <w:r>
        <w:tab/>
      </w:r>
    </w:p>
    <w:p w:rsidR="001B6DD8" w:rsidP="4BE243DB" w:rsidRDefault="00F32E08" w14:paraId="5EC751FD" w14:textId="614B4161">
      <w:pPr>
        <w:tabs>
          <w:tab w:val="right" w:pos="9638"/>
        </w:tabs>
        <w:rPr>
          <w:rFonts w:ascii="Arial" w:hAnsi="Arial" w:cs="Arial"/>
          <w:b w:val="1"/>
          <w:bCs w:val="1"/>
        </w:rPr>
      </w:pPr>
      <w:r w:rsidRPr="4BE243DB" w:rsidR="795CC926">
        <w:rPr>
          <w:rFonts w:ascii="Arial" w:hAnsi="Arial" w:cs="Arial"/>
          <w:b w:val="1"/>
          <w:bCs w:val="1"/>
        </w:rPr>
        <w:t>Reference</w:t>
      </w:r>
      <w:r w:rsidRPr="4BE243DB" w:rsidR="245B0AAD">
        <w:rPr>
          <w:rFonts w:ascii="Arial" w:hAnsi="Arial" w:cs="Arial"/>
          <w:b w:val="1"/>
          <w:bCs w:val="1"/>
        </w:rPr>
        <w:t xml:space="preserve"> – </w:t>
      </w:r>
      <w:r w:rsidRPr="4BE243DB" w:rsidR="77509EFB">
        <w:rPr>
          <w:rFonts w:ascii="Arial" w:hAnsi="Arial" w:cs="Arial"/>
          <w:b w:val="1"/>
          <w:bCs w:val="1"/>
        </w:rPr>
        <w:t>Tackling Dangerous Driving</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4832028D"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6A6671" w14:paraId="02EB378F" w14:textId="3C66487A">
            <w:pPr>
              <w:spacing w:before="60" w:after="60"/>
              <w:rPr>
                <w:rFonts w:ascii="Arial" w:hAnsi="Arial" w:cs="Arial"/>
              </w:rPr>
            </w:pPr>
            <w:r>
              <w:rPr>
                <w:rFonts w:ascii="Arial" w:hAnsi="Arial" w:cs="Arial"/>
              </w:rPr>
              <w:t>Growth</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6A6671" w14:paraId="6A05A809" w14:textId="3AF755D9">
            <w:pPr>
              <w:spacing w:before="60" w:after="60"/>
              <w:rPr>
                <w:rFonts w:ascii="Arial" w:hAnsi="Arial" w:cs="Arial"/>
              </w:rPr>
            </w:pPr>
            <w:r>
              <w:rPr>
                <w:rFonts w:ascii="Arial" w:hAnsi="Arial" w:cs="Arial"/>
              </w:rPr>
              <w:t>3</w:t>
            </w:r>
          </w:p>
        </w:tc>
      </w:tr>
      <w:tr w:rsidRPr="00C901EA" w:rsidR="00C1127B" w:rsidTr="4832028D"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6A6671" w14:paraId="5A39BBE3" w14:textId="79C14022">
            <w:pPr>
              <w:spacing w:before="60" w:after="60"/>
              <w:rPr>
                <w:rFonts w:ascii="Arial" w:hAnsi="Arial" w:cs="Arial"/>
              </w:rPr>
            </w:pPr>
            <w:r w:rsidRPr="006A6671">
              <w:rPr>
                <w:rFonts w:ascii="Arial" w:hAnsi="Arial" w:cs="Arial"/>
              </w:rPr>
              <w:t>Richard Gelder </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6A6671" w14:paraId="41C8F396" w14:textId="61794025">
            <w:pPr>
              <w:spacing w:before="60" w:after="60"/>
            </w:pPr>
            <w:r w:rsidRPr="4832028D" w:rsidR="46E54EFF">
              <w:rPr>
                <w:rFonts w:ascii="Arial" w:hAnsi="Arial" w:cs="Arial"/>
              </w:rPr>
              <w:t>25/08/2026</w:t>
            </w:r>
          </w:p>
        </w:tc>
      </w:tr>
    </w:tbl>
    <w:p w:rsidR="0030130F" w:rsidP="4832028D" w:rsidRDefault="0030130F" w14:paraId="225B1E1E" w14:textId="6546C6FE">
      <w:pPr>
        <w:pStyle w:val="Normal"/>
        <w:rPr>
          <w:rFonts w:ascii="Arial" w:hAnsi="Arial" w:cs="Arial"/>
        </w:rPr>
      </w:pPr>
    </w:p>
    <w:p w:rsidR="0030130F" w:rsidP="007F05CB" w:rsidRDefault="00C1127B" w14:paraId="6330ED29" w14:textId="24C41C53">
      <w:pPr>
        <w:pStyle w:val="Heading1"/>
      </w:pPr>
      <w:r>
        <w:t xml:space="preserve">Section 1: </w:t>
      </w:r>
      <w:r w:rsidR="00CF1EC6">
        <w:t>W</w:t>
      </w:r>
      <w:r>
        <w:t>hat is being assessed</w:t>
      </w:r>
      <w:r w:rsidR="006B48F1">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Pr="006A6671" w:rsidR="001B5907" w:rsidP="001B5907" w:rsidRDefault="006A6671" w14:paraId="4101652C" w14:textId="61E4F4F3">
      <w:pPr>
        <w:rPr>
          <w:rFonts w:ascii="Arial" w:hAnsi="Arial" w:cs="Arial"/>
        </w:rPr>
      </w:pPr>
      <w:r w:rsidRPr="006A6671">
        <w:rPr>
          <w:rFonts w:ascii="Arial" w:hAnsi="Arial" w:cs="Arial"/>
        </w:rPr>
        <w:t>Implementation and expansion of Moving Traffic Enforcement under Pt.6 of the Traffic Management Act </w:t>
      </w:r>
    </w:p>
    <w:p w:rsidRPr="00607D1D" w:rsidR="001B5907" w:rsidP="001B5907" w:rsidRDefault="001B5907" w14:paraId="4B99056E"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1299C43A" w14:textId="77777777">
      <w:pPr>
        <w:ind w:left="720" w:hanging="720"/>
        <w:rPr>
          <w:rFonts w:ascii="Arial" w:hAnsi="Arial" w:cs="Arial"/>
          <w:b/>
          <w:color w:val="000080"/>
        </w:rPr>
      </w:pPr>
    </w:p>
    <w:p w:rsidRPr="006A6671" w:rsidR="006A6671" w:rsidP="006A6671" w:rsidRDefault="006A6671" w14:paraId="5AA6DDA0" w14:textId="77777777">
      <w:pPr>
        <w:rPr>
          <w:rFonts w:ascii="Arial" w:hAnsi="Arial" w:cs="Arial"/>
        </w:rPr>
      </w:pPr>
      <w:r w:rsidRPr="006A6671">
        <w:rPr>
          <w:rFonts w:ascii="Arial" w:hAnsi="Arial" w:cs="Arial"/>
        </w:rPr>
        <w:t xml:space="preserve">This is a continuation of a saving proposal initially started (and approved) for 25/26. </w:t>
      </w:r>
    </w:p>
    <w:p w:rsidRPr="006A6671" w:rsidR="006A6671" w:rsidP="006A6671" w:rsidRDefault="006A6671" w14:paraId="4E912A27" w14:textId="77777777">
      <w:pPr>
        <w:rPr>
          <w:rFonts w:ascii="Arial" w:hAnsi="Arial" w:cs="Arial"/>
        </w:rPr>
      </w:pPr>
      <w:r w:rsidRPr="006A6671">
        <w:rPr>
          <w:rFonts w:ascii="Arial" w:hAnsi="Arial" w:cs="Arial"/>
        </w:rPr>
        <w:t xml:space="preserve">From 31 May 2022, local authorities in England outside of London were able to apply to the Secretary of State for new powers to enforce ‘moving traffic </w:t>
      </w:r>
      <w:proofErr w:type="gramStart"/>
      <w:r w:rsidRPr="006A6671">
        <w:rPr>
          <w:rFonts w:ascii="Arial" w:hAnsi="Arial" w:cs="Arial"/>
        </w:rPr>
        <w:t>offences’</w:t>
      </w:r>
      <w:proofErr w:type="gramEnd"/>
      <w:r w:rsidRPr="006A6671">
        <w:rPr>
          <w:rFonts w:ascii="Arial" w:hAnsi="Arial" w:cs="Arial"/>
        </w:rPr>
        <w:t xml:space="preserve">. This means they could be granted powers that have previously been held only by the police and would be able to issue fines to drivers for these offences for the first time. In England and Wales, moving traffic offences are defined in law in Schedule 7 of the Traffic Management Act 2004 (as amended). They include:   </w:t>
      </w:r>
    </w:p>
    <w:p w:rsidRPr="006A6671" w:rsidR="006A6671" w:rsidP="006A6671" w:rsidRDefault="006A6671" w14:paraId="320AEAA4" w14:textId="77777777">
      <w:pPr>
        <w:ind w:left="1440"/>
        <w:rPr>
          <w:rFonts w:ascii="Arial" w:hAnsi="Arial" w:cs="Arial"/>
        </w:rPr>
      </w:pPr>
      <w:r w:rsidRPr="006A6671">
        <w:rPr>
          <w:rFonts w:ascii="Arial" w:hAnsi="Arial" w:cs="Arial"/>
        </w:rPr>
        <w:t xml:space="preserve">  </w:t>
      </w:r>
    </w:p>
    <w:p w:rsidRPr="006A6671" w:rsidR="006A6671" w:rsidP="006A6671" w:rsidRDefault="006A6671" w14:paraId="67D87290" w14:textId="77777777">
      <w:pPr>
        <w:rPr>
          <w:rFonts w:ascii="Arial" w:hAnsi="Arial" w:cs="Arial"/>
        </w:rPr>
      </w:pPr>
      <w:r w:rsidRPr="006A6671">
        <w:rPr>
          <w:rFonts w:ascii="Arial" w:hAnsi="Arial" w:cs="Arial"/>
        </w:rPr>
        <w:t>a)</w:t>
      </w:r>
      <w:r w:rsidRPr="006A6671">
        <w:rPr>
          <w:rFonts w:ascii="Arial" w:hAnsi="Arial" w:cs="Arial"/>
        </w:rPr>
        <w:tab/>
      </w:r>
      <w:proofErr w:type="gramStart"/>
      <w:r w:rsidRPr="006A6671">
        <w:rPr>
          <w:rFonts w:ascii="Arial" w:hAnsi="Arial" w:cs="Arial"/>
        </w:rPr>
        <w:t>Yellow</w:t>
      </w:r>
      <w:proofErr w:type="gramEnd"/>
      <w:r w:rsidRPr="006A6671">
        <w:rPr>
          <w:rFonts w:ascii="Arial" w:hAnsi="Arial" w:cs="Arial"/>
        </w:rPr>
        <w:t xml:space="preserve"> box junction markings;  </w:t>
      </w:r>
    </w:p>
    <w:p w:rsidRPr="006A6671" w:rsidR="006A6671" w:rsidP="006A6671" w:rsidRDefault="006A6671" w14:paraId="75AFE81C" w14:textId="77777777">
      <w:pPr>
        <w:rPr>
          <w:rFonts w:ascii="Arial" w:hAnsi="Arial" w:cs="Arial"/>
        </w:rPr>
      </w:pPr>
      <w:r w:rsidRPr="006A6671">
        <w:rPr>
          <w:rFonts w:ascii="Arial" w:hAnsi="Arial" w:cs="Arial"/>
        </w:rPr>
        <w:t>b)</w:t>
      </w:r>
      <w:r w:rsidRPr="006A6671">
        <w:rPr>
          <w:rFonts w:ascii="Arial" w:hAnsi="Arial" w:cs="Arial"/>
        </w:rPr>
        <w:tab/>
      </w:r>
      <w:r w:rsidRPr="006A6671">
        <w:rPr>
          <w:rFonts w:ascii="Arial" w:hAnsi="Arial" w:cs="Arial"/>
        </w:rPr>
        <w:t xml:space="preserve">Banned vehicle movements (No Entry, No Left/Right Turn etc);  </w:t>
      </w:r>
    </w:p>
    <w:p w:rsidRPr="006A6671" w:rsidR="006A6671" w:rsidP="006A6671" w:rsidRDefault="006A6671" w14:paraId="7868664A" w14:textId="77777777">
      <w:pPr>
        <w:rPr>
          <w:rFonts w:ascii="Arial" w:hAnsi="Arial" w:cs="Arial"/>
        </w:rPr>
      </w:pPr>
      <w:r w:rsidRPr="006A6671">
        <w:rPr>
          <w:rFonts w:ascii="Arial" w:hAnsi="Arial" w:cs="Arial"/>
        </w:rPr>
        <w:t>c)</w:t>
      </w:r>
      <w:r w:rsidRPr="006A6671">
        <w:rPr>
          <w:rFonts w:ascii="Arial" w:hAnsi="Arial" w:cs="Arial"/>
        </w:rPr>
        <w:tab/>
      </w:r>
      <w:r w:rsidRPr="006A6671">
        <w:rPr>
          <w:rFonts w:ascii="Arial" w:hAnsi="Arial" w:cs="Arial"/>
        </w:rPr>
        <w:t xml:space="preserve">HGV bans;  </w:t>
      </w:r>
    </w:p>
    <w:p w:rsidRPr="006A6671" w:rsidR="006A6671" w:rsidP="006A6671" w:rsidRDefault="006A6671" w14:paraId="58292948" w14:textId="77777777">
      <w:pPr>
        <w:rPr>
          <w:rFonts w:ascii="Arial" w:hAnsi="Arial" w:cs="Arial"/>
        </w:rPr>
      </w:pPr>
      <w:r w:rsidRPr="006A6671">
        <w:rPr>
          <w:rFonts w:ascii="Arial" w:hAnsi="Arial" w:cs="Arial"/>
        </w:rPr>
        <w:t>d)</w:t>
      </w:r>
      <w:r w:rsidRPr="006A6671">
        <w:rPr>
          <w:rFonts w:ascii="Arial" w:hAnsi="Arial" w:cs="Arial"/>
        </w:rPr>
        <w:tab/>
      </w:r>
      <w:r w:rsidRPr="006A6671">
        <w:rPr>
          <w:rFonts w:ascii="Arial" w:hAnsi="Arial" w:cs="Arial"/>
        </w:rPr>
        <w:t xml:space="preserve">Motor vehicle prohibitions;  </w:t>
      </w:r>
    </w:p>
    <w:p w:rsidRPr="006A6671" w:rsidR="006A6671" w:rsidP="006A6671" w:rsidRDefault="006A6671" w14:paraId="3E21877F" w14:textId="77777777">
      <w:pPr>
        <w:rPr>
          <w:rFonts w:ascii="Arial" w:hAnsi="Arial" w:cs="Arial"/>
        </w:rPr>
      </w:pPr>
      <w:r w:rsidRPr="006A6671">
        <w:rPr>
          <w:rFonts w:ascii="Arial" w:hAnsi="Arial" w:cs="Arial"/>
        </w:rPr>
        <w:t>e)</w:t>
      </w:r>
      <w:r w:rsidRPr="006A6671">
        <w:rPr>
          <w:rFonts w:ascii="Arial" w:hAnsi="Arial" w:cs="Arial"/>
        </w:rPr>
        <w:tab/>
      </w:r>
      <w:proofErr w:type="gramStart"/>
      <w:r w:rsidRPr="006A6671">
        <w:rPr>
          <w:rFonts w:ascii="Arial" w:hAnsi="Arial" w:cs="Arial"/>
        </w:rPr>
        <w:t>One Way</w:t>
      </w:r>
      <w:proofErr w:type="gramEnd"/>
      <w:r w:rsidRPr="006A6671">
        <w:rPr>
          <w:rFonts w:ascii="Arial" w:hAnsi="Arial" w:cs="Arial"/>
        </w:rPr>
        <w:t xml:space="preserve"> Streets; and  </w:t>
      </w:r>
    </w:p>
    <w:p w:rsidRPr="006A6671" w:rsidR="006A6671" w:rsidP="006A6671" w:rsidRDefault="006A6671" w14:paraId="2757F2E6" w14:textId="77777777">
      <w:pPr>
        <w:rPr>
          <w:rFonts w:ascii="Arial" w:hAnsi="Arial" w:cs="Arial"/>
        </w:rPr>
      </w:pPr>
      <w:r w:rsidRPr="006A6671">
        <w:rPr>
          <w:rFonts w:ascii="Arial" w:hAnsi="Arial" w:cs="Arial"/>
        </w:rPr>
        <w:t>f)</w:t>
      </w:r>
      <w:r w:rsidRPr="006A6671">
        <w:rPr>
          <w:rFonts w:ascii="Arial" w:hAnsi="Arial" w:cs="Arial"/>
        </w:rPr>
        <w:tab/>
      </w:r>
      <w:r w:rsidRPr="006A6671">
        <w:rPr>
          <w:rFonts w:ascii="Arial" w:hAnsi="Arial" w:cs="Arial"/>
        </w:rPr>
        <w:t xml:space="preserve">Double white line markings.  </w:t>
      </w:r>
    </w:p>
    <w:p w:rsidR="006A6671" w:rsidP="006A6671" w:rsidRDefault="006A6671" w14:paraId="663DA533" w14:textId="77777777">
      <w:pPr>
        <w:rPr>
          <w:rFonts w:ascii="Arial" w:hAnsi="Arial" w:cs="Arial"/>
        </w:rPr>
      </w:pPr>
    </w:p>
    <w:p w:rsidRPr="006A6671" w:rsidR="006A6671" w:rsidP="006A6671" w:rsidRDefault="006A6671" w14:paraId="740E1A46" w14:textId="0A1517C5">
      <w:pPr>
        <w:rPr>
          <w:rFonts w:ascii="Arial" w:hAnsi="Arial" w:cs="Arial"/>
        </w:rPr>
      </w:pPr>
      <w:r w:rsidRPr="006A6671">
        <w:rPr>
          <w:rFonts w:ascii="Arial" w:hAnsi="Arial" w:cs="Arial"/>
        </w:rPr>
        <w:t xml:space="preserve">Implementation of this proposal would address inconsiderate driving, which contravenes signed restrictions on the network and can interfere with the safe operation of the highway to varying degrees depending on the user impacted by the action of the transgressor and the nature of the restriction being contravened.  At its most extreme contravention of measures designed to keep users of the network safe can lead to serious injury, or death, of a road user. By adopting the Pt.6 powers the Council can ensure that the temptation to contravene restrictions is reduced and hence the safety of the network is improved for all users, including children and the most vulnerable users.  The gradual expansion of the network over-time to encompass sites outside of the core city centre will also mean that increasing levels of compliance can be achieved across the district. Therefore, the 4 strategic objectives which can be delivered by this proposal are:  </w:t>
      </w:r>
    </w:p>
    <w:p w:rsidRPr="006A6671" w:rsidR="006A6671" w:rsidP="006A6671" w:rsidRDefault="006A6671" w14:paraId="5C12DC86" w14:textId="77777777">
      <w:pPr>
        <w:ind w:left="1440"/>
        <w:rPr>
          <w:rFonts w:ascii="Arial" w:hAnsi="Arial" w:cs="Arial"/>
        </w:rPr>
      </w:pPr>
      <w:r w:rsidRPr="006A6671">
        <w:rPr>
          <w:rFonts w:ascii="Arial" w:hAnsi="Arial" w:cs="Arial"/>
        </w:rPr>
        <w:t xml:space="preserve">  </w:t>
      </w:r>
    </w:p>
    <w:p w:rsidRPr="006A6671" w:rsidR="006A6671" w:rsidP="006A6671" w:rsidRDefault="006A6671" w14:paraId="5AA2EC80" w14:textId="77777777">
      <w:pPr>
        <w:rPr>
          <w:rFonts w:ascii="Arial" w:hAnsi="Arial" w:cs="Arial"/>
        </w:rPr>
      </w:pPr>
      <w:r w:rsidRPr="006A6671">
        <w:rPr>
          <w:rFonts w:ascii="Arial" w:hAnsi="Arial" w:cs="Arial"/>
        </w:rPr>
        <w:t>•</w:t>
      </w:r>
      <w:r w:rsidRPr="006A6671">
        <w:rPr>
          <w:rFonts w:ascii="Arial" w:hAnsi="Arial" w:cs="Arial"/>
        </w:rPr>
        <w:tab/>
      </w:r>
      <w:r w:rsidRPr="006A6671">
        <w:rPr>
          <w:rFonts w:ascii="Arial" w:hAnsi="Arial" w:cs="Arial"/>
        </w:rPr>
        <w:t xml:space="preserve">Reduce congestion,  </w:t>
      </w:r>
    </w:p>
    <w:p w:rsidRPr="006A6671" w:rsidR="006A6671" w:rsidP="006A6671" w:rsidRDefault="006A6671" w14:paraId="3757D2F3" w14:textId="77777777">
      <w:pPr>
        <w:rPr>
          <w:rFonts w:ascii="Arial" w:hAnsi="Arial" w:cs="Arial"/>
        </w:rPr>
      </w:pPr>
      <w:r w:rsidRPr="006A6671">
        <w:rPr>
          <w:rFonts w:ascii="Arial" w:hAnsi="Arial" w:cs="Arial"/>
        </w:rPr>
        <w:t>•</w:t>
      </w:r>
      <w:r w:rsidRPr="006A6671">
        <w:rPr>
          <w:rFonts w:ascii="Arial" w:hAnsi="Arial" w:cs="Arial"/>
        </w:rPr>
        <w:tab/>
      </w:r>
      <w:r w:rsidRPr="006A6671">
        <w:rPr>
          <w:rFonts w:ascii="Arial" w:hAnsi="Arial" w:cs="Arial"/>
        </w:rPr>
        <w:t xml:space="preserve">Improve air quality,  </w:t>
      </w:r>
    </w:p>
    <w:p w:rsidRPr="006A6671" w:rsidR="006A6671" w:rsidP="006A6671" w:rsidRDefault="006A6671" w14:paraId="3F44960F" w14:textId="77777777">
      <w:pPr>
        <w:rPr>
          <w:rFonts w:ascii="Arial" w:hAnsi="Arial" w:cs="Arial"/>
        </w:rPr>
      </w:pPr>
      <w:r w:rsidRPr="006A6671">
        <w:rPr>
          <w:rFonts w:ascii="Arial" w:hAnsi="Arial" w:cs="Arial"/>
        </w:rPr>
        <w:t>•</w:t>
      </w:r>
      <w:r w:rsidRPr="006A6671">
        <w:rPr>
          <w:rFonts w:ascii="Arial" w:hAnsi="Arial" w:cs="Arial"/>
        </w:rPr>
        <w:tab/>
      </w:r>
      <w:r w:rsidRPr="006A6671">
        <w:rPr>
          <w:rFonts w:ascii="Arial" w:hAnsi="Arial" w:cs="Arial"/>
        </w:rPr>
        <w:t xml:space="preserve">Improve bus service reliability, and  </w:t>
      </w:r>
    </w:p>
    <w:p w:rsidR="000475CF" w:rsidP="006A6671" w:rsidRDefault="006A6671" w14:paraId="3461D779" w14:textId="453D98DD">
      <w:pPr>
        <w:rPr>
          <w:rFonts w:ascii="Arial" w:hAnsi="Arial" w:cs="Arial"/>
        </w:rPr>
      </w:pPr>
      <w:r w:rsidRPr="006A6671">
        <w:rPr>
          <w:rFonts w:ascii="Arial" w:hAnsi="Arial" w:cs="Arial"/>
        </w:rPr>
        <w:t>•</w:t>
      </w:r>
      <w:r w:rsidRPr="006A6671">
        <w:rPr>
          <w:rFonts w:ascii="Arial" w:hAnsi="Arial" w:cs="Arial"/>
        </w:rPr>
        <w:tab/>
      </w:r>
      <w:r w:rsidRPr="006A6671">
        <w:rPr>
          <w:rFonts w:ascii="Arial" w:hAnsi="Arial" w:cs="Arial"/>
        </w:rPr>
        <w:t>Improve the use of active travel modes (i.e. walking and cycling routes)</w:t>
      </w:r>
    </w:p>
    <w:p w:rsidR="006A6671" w:rsidP="006A6671" w:rsidRDefault="006A6671" w14:paraId="62ABA178" w14:textId="77777777">
      <w:pPr>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14:paraId="2DB1BF02" w14:textId="77777777">
        <w:trPr>
          <w:trHeight w:val="428"/>
          <w:jc w:val="center"/>
        </w:trPr>
        <w:tc>
          <w:tcPr>
            <w:tcW w:w="5970" w:type="dxa"/>
            <w:shd w:val="clear" w:color="auto" w:fill="DDFFFF"/>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06A6671" w14:paraId="1FC39945" w14:textId="6D5E763F">
            <w:pPr>
              <w:spacing w:line="360" w:lineRule="auto"/>
              <w:jc w:val="center"/>
              <w:rPr>
                <w:rFonts w:ascii="Arial" w:hAnsi="Arial" w:cs="Arial"/>
                <w:color w:val="0000FF"/>
              </w:rPr>
            </w:pPr>
            <w:r>
              <w:rPr>
                <w:rFonts w:ascii="Arial" w:hAnsi="Arial" w:cs="Arial"/>
                <w:color w:val="0000FF"/>
              </w:rPr>
              <w:t>N</w:t>
            </w:r>
          </w:p>
        </w:tc>
      </w:tr>
      <w:tr w:rsidRPr="00F106C5" w:rsidR="000475CF" w14:paraId="3196EC1C" w14:textId="77777777">
        <w:trPr>
          <w:trHeight w:val="428"/>
          <w:jc w:val="center"/>
        </w:trPr>
        <w:tc>
          <w:tcPr>
            <w:tcW w:w="5970" w:type="dxa"/>
            <w:shd w:val="clear" w:color="auto" w:fill="DDFFFF"/>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006A6671" w14:paraId="0562CB0E" w14:textId="5BEB402D">
            <w:pPr>
              <w:jc w:val="center"/>
              <w:rPr>
                <w:rFonts w:ascii="Arial" w:hAnsi="Arial" w:cs="Arial"/>
                <w:color w:val="0000FF"/>
              </w:rPr>
            </w:pPr>
            <w:r>
              <w:rPr>
                <w:rFonts w:ascii="Arial" w:hAnsi="Arial" w:cs="Arial"/>
                <w:color w:val="0000FF"/>
              </w:rPr>
              <w:t>N</w:t>
            </w:r>
          </w:p>
        </w:tc>
      </w:tr>
      <w:tr w:rsidRPr="00F106C5" w:rsidR="000475CF" w14:paraId="3C006327" w14:textId="77777777">
        <w:trPr>
          <w:trHeight w:val="428"/>
          <w:jc w:val="center"/>
        </w:trPr>
        <w:tc>
          <w:tcPr>
            <w:tcW w:w="5970" w:type="dxa"/>
            <w:shd w:val="clear" w:color="auto" w:fill="DDFFFF"/>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006A6671" w14:paraId="34CE0A41" w14:textId="6B09F0C3">
            <w:pPr>
              <w:jc w:val="center"/>
              <w:rPr>
                <w:rFonts w:ascii="Arial" w:hAnsi="Arial" w:cs="Arial"/>
                <w:color w:val="0000FF"/>
              </w:rPr>
            </w:pPr>
            <w:r>
              <w:rPr>
                <w:rFonts w:ascii="Arial" w:hAnsi="Arial" w:cs="Arial"/>
                <w:color w:val="0000FF"/>
              </w:rPr>
              <w:t>N</w:t>
            </w:r>
          </w:p>
        </w:tc>
      </w:tr>
      <w:tr w:rsidRPr="00F106C5" w:rsidR="000475CF" w14:paraId="487A3927" w14:textId="77777777">
        <w:trPr>
          <w:trHeight w:val="428"/>
          <w:jc w:val="center"/>
        </w:trPr>
        <w:tc>
          <w:tcPr>
            <w:tcW w:w="5970" w:type="dxa"/>
            <w:shd w:val="clear" w:color="auto" w:fill="DDFFFF"/>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006A6671" w14:paraId="62EBF3C5" w14:textId="776650B0">
            <w:pPr>
              <w:jc w:val="center"/>
              <w:rPr>
                <w:rFonts w:ascii="Arial" w:hAnsi="Arial" w:cs="Arial"/>
                <w:color w:val="0000FF"/>
              </w:rPr>
            </w:pPr>
            <w:r>
              <w:rPr>
                <w:rFonts w:ascii="Arial" w:hAnsi="Arial" w:cs="Arial"/>
                <w:color w:val="0000FF"/>
              </w:rPr>
              <w:t>N</w:t>
            </w:r>
          </w:p>
        </w:tc>
      </w:tr>
      <w:tr w:rsidRPr="00F106C5" w:rsidR="000475CF" w14:paraId="5920EB66" w14:textId="77777777">
        <w:trPr>
          <w:trHeight w:val="428"/>
          <w:jc w:val="center"/>
        </w:trPr>
        <w:tc>
          <w:tcPr>
            <w:tcW w:w="5970" w:type="dxa"/>
            <w:shd w:val="clear" w:color="auto" w:fill="DDFFFF"/>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006A6671" w14:paraId="6D98A12B" w14:textId="2B3266DA">
            <w:pPr>
              <w:jc w:val="center"/>
              <w:rPr>
                <w:rFonts w:ascii="Arial" w:hAnsi="Arial" w:cs="Arial"/>
                <w:color w:val="0000FF"/>
              </w:rPr>
            </w:pPr>
            <w:r>
              <w:rPr>
                <w:rFonts w:ascii="Arial" w:hAnsi="Arial" w:cs="Arial"/>
                <w:color w:val="0000FF"/>
              </w:rPr>
              <w:t>N</w:t>
            </w:r>
          </w:p>
        </w:tc>
      </w:tr>
      <w:tr w:rsidRPr="00F106C5" w:rsidR="000475CF" w14:paraId="549BE6C6" w14:textId="77777777">
        <w:trPr>
          <w:trHeight w:val="428"/>
          <w:jc w:val="center"/>
        </w:trPr>
        <w:tc>
          <w:tcPr>
            <w:tcW w:w="5970" w:type="dxa"/>
            <w:shd w:val="clear" w:color="auto" w:fill="DDFFFF"/>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006A6671" w14:paraId="2946DB82" w14:textId="47A076DC">
            <w:pPr>
              <w:jc w:val="center"/>
              <w:rPr>
                <w:rFonts w:ascii="Arial" w:hAnsi="Arial" w:cs="Arial"/>
                <w:color w:val="0000FF"/>
              </w:rPr>
            </w:pPr>
            <w:r>
              <w:rPr>
                <w:rFonts w:ascii="Arial" w:hAnsi="Arial" w:cs="Arial"/>
                <w:color w:val="0000FF"/>
              </w:rPr>
              <w:t>N</w:t>
            </w:r>
          </w:p>
        </w:tc>
      </w:tr>
      <w:tr w:rsidRPr="00F106C5" w:rsidR="000475CF" w14:paraId="3C34B011" w14:textId="77777777">
        <w:trPr>
          <w:trHeight w:val="428"/>
          <w:jc w:val="center"/>
        </w:trPr>
        <w:tc>
          <w:tcPr>
            <w:tcW w:w="5970" w:type="dxa"/>
            <w:shd w:val="clear" w:color="auto" w:fill="DDFFFF"/>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006A6671" w14:paraId="5997CC1D" w14:textId="71FCC291">
            <w:pPr>
              <w:jc w:val="center"/>
              <w:rPr>
                <w:rFonts w:ascii="Arial" w:hAnsi="Arial" w:cs="Arial"/>
                <w:color w:val="0000FF"/>
              </w:rPr>
            </w:pPr>
            <w:r>
              <w:rPr>
                <w:rFonts w:ascii="Arial" w:hAnsi="Arial" w:cs="Arial"/>
                <w:color w:val="0000FF"/>
              </w:rPr>
              <w:t>N</w:t>
            </w:r>
          </w:p>
        </w:tc>
      </w:tr>
      <w:tr w:rsidRPr="00F106C5" w:rsidR="000475CF" w14:paraId="1A7FF3C2"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006A6671" w14:paraId="110FFD37" w14:textId="08C11D0E">
            <w:pPr>
              <w:jc w:val="center"/>
              <w:rPr>
                <w:rFonts w:ascii="Arial" w:hAnsi="Arial" w:cs="Arial"/>
                <w:color w:val="0000FF"/>
              </w:rPr>
            </w:pPr>
            <w:r>
              <w:rPr>
                <w:rFonts w:ascii="Arial" w:hAnsi="Arial" w:cs="Arial"/>
                <w:color w:val="0000FF"/>
              </w:rPr>
              <w:t>N</w:t>
            </w:r>
          </w:p>
        </w:tc>
      </w:tr>
      <w:tr w:rsidRPr="00F106C5" w:rsidR="000475CF" w14:paraId="5588D65F" w14:textId="77777777">
        <w:trPr>
          <w:trHeight w:val="428"/>
          <w:jc w:val="center"/>
        </w:trPr>
        <w:tc>
          <w:tcPr>
            <w:tcW w:w="5970" w:type="dxa"/>
            <w:shd w:val="clear" w:color="auto" w:fill="DDFFFF"/>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006A6671" w14:paraId="6B699379" w14:textId="7384569C">
            <w:pPr>
              <w:jc w:val="center"/>
              <w:rPr>
                <w:rFonts w:ascii="Arial" w:hAnsi="Arial" w:cs="Arial"/>
                <w:color w:val="0000FF"/>
              </w:rPr>
            </w:pPr>
            <w:r>
              <w:rPr>
                <w:rFonts w:ascii="Arial" w:hAnsi="Arial" w:cs="Arial"/>
                <w:color w:val="0000FF"/>
              </w:rPr>
              <w:t>N</w:t>
            </w:r>
          </w:p>
        </w:tc>
      </w:tr>
      <w:tr w:rsidRPr="00F106C5" w:rsidR="000475CF"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3FE9F23F" w14:textId="0496E06E">
            <w:pPr>
              <w:jc w:val="center"/>
              <w:rPr>
                <w:rFonts w:ascii="Arial" w:hAnsi="Arial" w:cs="Arial"/>
                <w:color w:val="0000FF"/>
              </w:rPr>
            </w:pPr>
          </w:p>
        </w:tc>
      </w:tr>
      <w:tr w:rsidRPr="00F106C5" w:rsidR="000475CF" w14:paraId="39D06010" w14:textId="77777777">
        <w:trPr>
          <w:trHeight w:val="428"/>
          <w:jc w:val="center"/>
        </w:trPr>
        <w:tc>
          <w:tcPr>
            <w:tcW w:w="5970" w:type="dxa"/>
            <w:shd w:val="clear" w:color="auto" w:fill="DDFFFF"/>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RDefault="006A6671" w14:paraId="1F72F646" w14:textId="6839C557">
            <w:pPr>
              <w:rPr>
                <w:rFonts w:ascii="Arial" w:hAnsi="Arial" w:cs="Arial"/>
                <w:color w:val="0000FF"/>
              </w:rPr>
            </w:pPr>
            <w:r>
              <w:rPr>
                <w:rFonts w:ascii="Arial" w:hAnsi="Arial" w:cs="Arial"/>
                <w:color w:val="0000FF"/>
              </w:rPr>
              <w:t>Y</w:t>
            </w:r>
          </w:p>
        </w:tc>
      </w:tr>
      <w:tr w:rsidRPr="00F106C5" w:rsidR="000475CF" w14:paraId="680380F9" w14:textId="77777777">
        <w:trPr>
          <w:trHeight w:val="428"/>
          <w:jc w:val="center"/>
        </w:trPr>
        <w:tc>
          <w:tcPr>
            <w:tcW w:w="5970" w:type="dxa"/>
            <w:shd w:val="clear" w:color="auto" w:fill="DDFFFF"/>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RDefault="006A6671" w14:paraId="08CE6F91" w14:textId="6E77CA40">
            <w:pPr>
              <w:rPr>
                <w:rFonts w:ascii="Arial" w:hAnsi="Arial" w:cs="Arial"/>
                <w:color w:val="0000FF"/>
              </w:rPr>
            </w:pPr>
            <w:r>
              <w:rPr>
                <w:rFonts w:ascii="Arial" w:hAnsi="Arial" w:cs="Arial"/>
                <w:color w:val="0000FF"/>
              </w:rPr>
              <w:t>N</w:t>
            </w:r>
          </w:p>
        </w:tc>
      </w:tr>
    </w:tbl>
    <w:p w:rsidRPr="000475CF" w:rsidR="000475CF" w:rsidP="002C7C86" w:rsidRDefault="000475CF" w14:paraId="61CDCEAD" w14:textId="77777777">
      <w:pPr>
        <w:rPr>
          <w:rFonts w:ascii="Arial" w:hAnsi="Arial" w:cs="Arial"/>
          <w:bCs/>
        </w:rPr>
      </w:pPr>
    </w:p>
    <w:p w:rsidR="00256995" w:rsidP="007F05CB" w:rsidRDefault="00256995" w14:paraId="6BB9E253" w14:textId="77777777">
      <w:pPr>
        <w:pStyle w:val="Heading1"/>
      </w:pPr>
    </w:p>
    <w:p w:rsidR="000C50E1" w:rsidP="007F05CB" w:rsidRDefault="00256995" w14:paraId="556E442E" w14:textId="77777777">
      <w:pPr>
        <w:pStyle w:val="Heading1"/>
      </w:pPr>
      <w:r w:rsidR="00256995">
        <w:rPr/>
        <w:t xml:space="preserve">Stage 2: </w:t>
      </w:r>
      <w:r w:rsidR="000C50E1">
        <w:rPr/>
        <w:t>Full</w:t>
      </w:r>
      <w:r w:rsidR="00256995">
        <w:rPr/>
        <w:t xml:space="preserve"> Equality</w:t>
      </w:r>
      <w:r w:rsidR="000C50E1">
        <w:rPr/>
        <w:t xml:space="preserve"> Impact </w:t>
      </w:r>
      <w:r w:rsidR="00256995">
        <w:rPr/>
        <w:t>A</w:t>
      </w:r>
      <w:r w:rsidR="000C50E1">
        <w:rPr/>
        <w:t>ssessment:</w:t>
      </w:r>
    </w:p>
    <w:p w:rsidR="00BF5064" w:rsidP="00E82A09" w:rsidRDefault="00BF5064" w14:paraId="07547A01" w14:textId="77777777">
      <w:pPr>
        <w:rPr>
          <w:rFonts w:ascii="Arial" w:hAnsi="Arial" w:cs="Arial"/>
          <w:b/>
          <w:color w:val="000080"/>
        </w:rPr>
      </w:pPr>
    </w:p>
    <w:p w:rsidRPr="001A7399" w:rsidR="001A7399" w:rsidP="001A7399" w:rsidRDefault="001A7399" w14:paraId="25414E09" w14:textId="77777777">
      <w:pPr>
        <w:numPr>
          <w:ilvl w:val="1"/>
          <w:numId w:val="20"/>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1A7399" w:rsidP="001A7399" w:rsidRDefault="001A7399" w14:paraId="5043CB0F" w14:textId="77777777">
      <w:pPr>
        <w:rPr>
          <w:rFonts w:ascii="Arial" w:hAnsi="Arial" w:cs="Arial"/>
          <w:b/>
          <w:color w:val="000080"/>
        </w:rPr>
      </w:pPr>
    </w:p>
    <w:p w:rsidRPr="006A6671" w:rsidR="001A7399" w:rsidP="006A6671" w:rsidRDefault="006A6671" w14:paraId="07459315" w14:textId="7AA762D3">
      <w:pPr>
        <w:ind w:firstLine="720"/>
        <w:rPr>
          <w:rFonts w:ascii="Arial" w:hAnsi="Arial" w:cs="Arial"/>
        </w:rPr>
      </w:pPr>
      <w:r w:rsidRPr="006A6671">
        <w:rPr>
          <w:rFonts w:ascii="Arial" w:hAnsi="Arial" w:cs="Arial"/>
        </w:rPr>
        <w:t>No</w:t>
      </w:r>
    </w:p>
    <w:p w:rsidRPr="001A7399" w:rsidR="006A6671" w:rsidP="001A7399" w:rsidRDefault="006A6671" w14:paraId="151663EB"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00DE56FE" w:rsidP="00E82A09" w:rsidRDefault="00DE56FE" w14:paraId="6DFB9E20" w14:textId="77777777">
      <w:pPr>
        <w:rPr>
          <w:rFonts w:ascii="Arial" w:hAnsi="Arial" w:cs="Arial"/>
          <w:b/>
          <w:color w:val="000080"/>
        </w:rPr>
      </w:pPr>
    </w:p>
    <w:p w:rsidRPr="006A6671" w:rsidR="006A6671" w:rsidP="006A6671" w:rsidRDefault="006A6671" w14:paraId="4A05C6A4" w14:textId="50D7A55A">
      <w:pPr>
        <w:ind w:firstLine="720"/>
        <w:rPr>
          <w:rFonts w:ascii="Arial" w:hAnsi="Arial" w:cs="Arial"/>
        </w:rPr>
      </w:pPr>
      <w:r w:rsidRPr="006A6671">
        <w:rPr>
          <w:rFonts w:ascii="Arial" w:hAnsi="Arial" w:cs="Arial"/>
        </w:rPr>
        <w:t>No</w:t>
      </w: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44E871BC" w14:textId="77777777">
      <w:pPr>
        <w:rPr>
          <w:rFonts w:ascii="Arial" w:hAnsi="Arial" w:cs="Arial"/>
          <w:color w:val="000080"/>
        </w:rPr>
      </w:pPr>
    </w:p>
    <w:p w:rsidRPr="009E58CC" w:rsidR="00607D1D" w:rsidP="00BF5064" w:rsidRDefault="006A6671" w14:paraId="207781C4" w14:textId="06DAF2DD">
      <w:pPr>
        <w:ind w:left="720"/>
        <w:rPr>
          <w:rFonts w:ascii="Arial" w:hAnsi="Arial" w:cs="Arial"/>
        </w:rPr>
      </w:pPr>
      <w:r>
        <w:rPr>
          <w:rFonts w:ascii="Arial" w:hAnsi="Arial" w:cs="Arial"/>
        </w:rPr>
        <w:t>No</w:t>
      </w: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Pr="009E58CC" w:rsidR="00BF5064" w:rsidP="7A8F9F5E" w:rsidRDefault="00BF5064" w14:paraId="3635A305" w14:textId="73639C71">
      <w:pPr>
        <w:pStyle w:val="Normal"/>
        <w:ind/>
        <w:rPr>
          <w:rFonts w:ascii="Arial" w:hAnsi="Arial" w:cs="Arial"/>
          <w:b w:val="1"/>
          <w:bCs w:val="1"/>
          <w:color w:val="000080"/>
        </w:rPr>
      </w:pPr>
    </w:p>
    <w:p w:rsidRPr="00512DBA" w:rsidR="00BF5064" w:rsidP="00BF5064" w:rsidRDefault="00BF5064" w14:paraId="3B7B4B8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357D2B2B" w14:textId="77777777">
        <w:trPr>
          <w:trHeight w:val="428"/>
          <w:jc w:val="center"/>
        </w:trPr>
        <w:tc>
          <w:tcPr>
            <w:tcW w:w="5970" w:type="dxa"/>
            <w:shd w:val="clear" w:color="auto" w:fill="DDFFFF"/>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6A6671" w14:paraId="5630AD66" w14:textId="18A3C667">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18D5C009" w14:textId="77777777">
        <w:trPr>
          <w:trHeight w:val="428"/>
          <w:jc w:val="center"/>
        </w:trPr>
        <w:tc>
          <w:tcPr>
            <w:tcW w:w="5970" w:type="dxa"/>
            <w:shd w:val="clear" w:color="auto" w:fill="DDFFFF"/>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6A6671" w14:paraId="61829076" w14:textId="5DFF2725">
            <w:pPr>
              <w:jc w:val="center"/>
              <w:rPr>
                <w:rFonts w:ascii="Arial" w:hAnsi="Arial" w:cs="Arial"/>
                <w:color w:val="0000FF"/>
              </w:rPr>
            </w:pPr>
            <w:r>
              <w:rPr>
                <w:rFonts w:ascii="Arial" w:hAnsi="Arial" w:cs="Arial"/>
                <w:color w:val="0000FF"/>
              </w:rPr>
              <w:t>N</w:t>
            </w:r>
          </w:p>
        </w:tc>
      </w:tr>
      <w:tr w:rsidRPr="00F106C5" w:rsidR="00D81901" w:rsidTr="00C05493" w14:paraId="1248D224" w14:textId="77777777">
        <w:trPr>
          <w:trHeight w:val="428"/>
          <w:jc w:val="center"/>
        </w:trPr>
        <w:tc>
          <w:tcPr>
            <w:tcW w:w="5970" w:type="dxa"/>
            <w:shd w:val="clear" w:color="auto" w:fill="DDFFFF"/>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6A6671" w14:paraId="2BA226A1" w14:textId="208DAC75">
            <w:pPr>
              <w:jc w:val="center"/>
              <w:rPr>
                <w:rFonts w:ascii="Arial" w:hAnsi="Arial" w:cs="Arial"/>
                <w:color w:val="0000FF"/>
              </w:rPr>
            </w:pPr>
            <w:r>
              <w:rPr>
                <w:rFonts w:ascii="Arial" w:hAnsi="Arial" w:cs="Arial"/>
                <w:color w:val="0000FF"/>
              </w:rPr>
              <w:t>N</w:t>
            </w:r>
          </w:p>
        </w:tc>
      </w:tr>
      <w:tr w:rsidRPr="00F106C5" w:rsidR="00D81901" w:rsidTr="00C05493" w14:paraId="37C61711" w14:textId="77777777">
        <w:trPr>
          <w:trHeight w:val="428"/>
          <w:jc w:val="center"/>
        </w:trPr>
        <w:tc>
          <w:tcPr>
            <w:tcW w:w="5970" w:type="dxa"/>
            <w:shd w:val="clear" w:color="auto" w:fill="DDFFFF"/>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6A6671" w14:paraId="17AD93B2" w14:textId="761DBB33">
            <w:pPr>
              <w:jc w:val="center"/>
              <w:rPr>
                <w:rFonts w:ascii="Arial" w:hAnsi="Arial" w:cs="Arial"/>
                <w:color w:val="0000FF"/>
              </w:rPr>
            </w:pPr>
            <w:r>
              <w:rPr>
                <w:rFonts w:ascii="Arial" w:hAnsi="Arial" w:cs="Arial"/>
                <w:color w:val="0000FF"/>
              </w:rPr>
              <w:t>N</w:t>
            </w:r>
          </w:p>
        </w:tc>
      </w:tr>
      <w:tr w:rsidRPr="00F106C5" w:rsidR="00D81901" w:rsidTr="00C05493" w14:paraId="546AF98D" w14:textId="77777777">
        <w:trPr>
          <w:trHeight w:val="428"/>
          <w:jc w:val="center"/>
        </w:trPr>
        <w:tc>
          <w:tcPr>
            <w:tcW w:w="5970" w:type="dxa"/>
            <w:shd w:val="clear" w:color="auto" w:fill="DDFFFF"/>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6A6671" w14:paraId="0DE4B5B7" w14:textId="6DA3844B">
            <w:pPr>
              <w:jc w:val="center"/>
              <w:rPr>
                <w:rFonts w:ascii="Arial" w:hAnsi="Arial" w:cs="Arial"/>
                <w:color w:val="0000FF"/>
              </w:rPr>
            </w:pPr>
            <w:r>
              <w:rPr>
                <w:rFonts w:ascii="Arial" w:hAnsi="Arial" w:cs="Arial"/>
                <w:color w:val="0000FF"/>
              </w:rPr>
              <w:t>N</w:t>
            </w:r>
          </w:p>
        </w:tc>
      </w:tr>
      <w:tr w:rsidRPr="00F106C5" w:rsidR="00D81901" w:rsidTr="00C05493" w14:paraId="3634CD9C" w14:textId="77777777">
        <w:trPr>
          <w:trHeight w:val="428"/>
          <w:jc w:val="center"/>
        </w:trPr>
        <w:tc>
          <w:tcPr>
            <w:tcW w:w="5970" w:type="dxa"/>
            <w:shd w:val="clear" w:color="auto" w:fill="DDFFFF"/>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6A6671" w14:paraId="66204FF1" w14:textId="35171953">
            <w:pPr>
              <w:jc w:val="center"/>
              <w:rPr>
                <w:rFonts w:ascii="Arial" w:hAnsi="Arial" w:cs="Arial"/>
                <w:color w:val="0000FF"/>
              </w:rPr>
            </w:pPr>
            <w:r>
              <w:rPr>
                <w:rFonts w:ascii="Arial" w:hAnsi="Arial" w:cs="Arial"/>
                <w:color w:val="0000FF"/>
              </w:rPr>
              <w:t>N</w:t>
            </w:r>
          </w:p>
        </w:tc>
      </w:tr>
      <w:tr w:rsidRPr="00F106C5" w:rsidR="00D81901" w:rsidTr="00C05493" w14:paraId="7F4ECF66" w14:textId="77777777">
        <w:trPr>
          <w:trHeight w:val="428"/>
          <w:jc w:val="center"/>
        </w:trPr>
        <w:tc>
          <w:tcPr>
            <w:tcW w:w="5970" w:type="dxa"/>
            <w:shd w:val="clear" w:color="auto" w:fill="DDFFFF"/>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6A6671" w14:paraId="2DBF0D7D" w14:textId="5233442B">
            <w:pPr>
              <w:jc w:val="center"/>
              <w:rPr>
                <w:rFonts w:ascii="Arial" w:hAnsi="Arial" w:cs="Arial"/>
                <w:color w:val="0000FF"/>
              </w:rPr>
            </w:pPr>
            <w:r>
              <w:rPr>
                <w:rFonts w:ascii="Arial" w:hAnsi="Arial" w:cs="Arial"/>
                <w:color w:val="0000FF"/>
              </w:rPr>
              <w:t>N</w:t>
            </w:r>
          </w:p>
        </w:tc>
      </w:tr>
      <w:tr w:rsidRPr="00F106C5" w:rsidR="00D81901" w:rsidTr="00C05493" w14:paraId="134A599E"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6A6671" w14:paraId="6B62F1B3" w14:textId="13CAF63F">
            <w:pPr>
              <w:jc w:val="center"/>
              <w:rPr>
                <w:rFonts w:ascii="Arial" w:hAnsi="Arial" w:cs="Arial"/>
                <w:color w:val="0000FF"/>
              </w:rPr>
            </w:pPr>
            <w:r>
              <w:rPr>
                <w:rFonts w:ascii="Arial" w:hAnsi="Arial" w:cs="Arial"/>
                <w:color w:val="0000FF"/>
              </w:rPr>
              <w:t>N</w:t>
            </w:r>
          </w:p>
        </w:tc>
      </w:tr>
      <w:tr w:rsidRPr="00F106C5" w:rsidR="00D81901" w:rsidTr="00C05493" w14:paraId="1784D4A8" w14:textId="77777777">
        <w:trPr>
          <w:trHeight w:val="428"/>
          <w:jc w:val="center"/>
        </w:trPr>
        <w:tc>
          <w:tcPr>
            <w:tcW w:w="5970" w:type="dxa"/>
            <w:shd w:val="clear" w:color="auto" w:fill="DDFFFF"/>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6A6671" w14:paraId="02F2C34E" w14:textId="6C559372">
            <w:pPr>
              <w:jc w:val="center"/>
              <w:rPr>
                <w:rFonts w:ascii="Arial" w:hAnsi="Arial" w:cs="Arial"/>
                <w:color w:val="0000FF"/>
              </w:rPr>
            </w:pPr>
            <w:r>
              <w:rPr>
                <w:rFonts w:ascii="Arial" w:hAnsi="Arial" w:cs="Arial"/>
                <w:color w:val="0000FF"/>
              </w:rPr>
              <w:t>N</w:t>
            </w:r>
          </w:p>
        </w:tc>
      </w:tr>
      <w:tr w:rsidRPr="00F106C5" w:rsidR="00DE56FE" w:rsidTr="00C05493"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680A4E5D" w14:textId="77777777">
            <w:pPr>
              <w:jc w:val="center"/>
              <w:rPr>
                <w:rFonts w:ascii="Arial" w:hAnsi="Arial" w:cs="Arial"/>
                <w:color w:val="0000FF"/>
              </w:rPr>
            </w:pPr>
          </w:p>
        </w:tc>
      </w:tr>
      <w:tr w:rsidRPr="00F106C5" w:rsidR="00D81901" w:rsidTr="00C05493" w14:paraId="1BC3B9D8" w14:textId="77777777">
        <w:trPr>
          <w:trHeight w:val="428"/>
          <w:jc w:val="center"/>
        </w:trPr>
        <w:tc>
          <w:tcPr>
            <w:tcW w:w="5970" w:type="dxa"/>
            <w:shd w:val="clear" w:color="auto" w:fill="DDFFFF"/>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BF5064" w:rsidRDefault="006A6671" w14:paraId="19219836" w14:textId="2A065DF9">
            <w:pPr>
              <w:rPr>
                <w:rFonts w:ascii="Arial" w:hAnsi="Arial" w:cs="Arial"/>
                <w:color w:val="0000FF"/>
              </w:rPr>
            </w:pPr>
            <w:r>
              <w:rPr>
                <w:rFonts w:ascii="Arial" w:hAnsi="Arial" w:cs="Arial"/>
                <w:color w:val="0000FF"/>
              </w:rPr>
              <w:t>L</w:t>
            </w:r>
          </w:p>
        </w:tc>
      </w:tr>
      <w:tr w:rsidRPr="00F106C5" w:rsidR="00BF5064" w:rsidTr="00C05493" w14:paraId="47D12BCA" w14:textId="77777777">
        <w:trPr>
          <w:trHeight w:val="428"/>
          <w:jc w:val="center"/>
        </w:trPr>
        <w:tc>
          <w:tcPr>
            <w:tcW w:w="5970" w:type="dxa"/>
            <w:shd w:val="clear" w:color="auto" w:fill="DDFFFF"/>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BF5064" w:rsidRDefault="006A6671" w14:paraId="296FEF7D" w14:textId="514FE01D">
            <w:pPr>
              <w:rPr>
                <w:rFonts w:ascii="Arial" w:hAnsi="Arial" w:cs="Arial"/>
                <w:color w:val="0000FF"/>
              </w:rPr>
            </w:pPr>
            <w:r>
              <w:rPr>
                <w:rFonts w:ascii="Arial" w:hAnsi="Arial" w:cs="Arial"/>
                <w:color w:val="0000FF"/>
              </w:rPr>
              <w:t>N</w:t>
            </w:r>
          </w:p>
        </w:tc>
      </w:tr>
      <w:bookmarkEnd w:id="0"/>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001A7399" w:rsidP="000475CF" w:rsidRDefault="00540730" w14:paraId="68C47E83" w14:textId="6B053227">
      <w:pPr>
        <w:ind w:left="720"/>
        <w:rPr>
          <w:rFonts w:ascii="Arial" w:hAnsi="Arial" w:cs="Arial"/>
          <w:color w:val="000080"/>
        </w:rPr>
      </w:pPr>
    </w:p>
    <w:p w:rsidR="006A6671" w:rsidP="000475CF" w:rsidRDefault="006A6671" w14:paraId="28DACE23" w14:textId="77777777">
      <w:pPr>
        <w:ind w:left="720"/>
        <w:rPr>
          <w:rFonts w:ascii="Arial" w:hAnsi="Arial" w:cs="Arial"/>
          <w:color w:val="000080"/>
        </w:rPr>
      </w:pPr>
    </w:p>
    <w:p w:rsidRPr="006A6671" w:rsidR="006A6671" w:rsidP="006A6671" w:rsidRDefault="006A6671" w14:paraId="760E9EEC" w14:textId="77777777">
      <w:pPr>
        <w:ind w:left="720"/>
        <w:rPr>
          <w:rFonts w:ascii="Arial" w:hAnsi="Arial" w:cs="Arial"/>
        </w:rPr>
      </w:pPr>
      <w:r w:rsidRPr="006A6671">
        <w:rPr>
          <w:rFonts w:ascii="Arial" w:hAnsi="Arial" w:cs="Arial"/>
        </w:rPr>
        <w:t xml:space="preserve">Introduction of enforcement of moving traffic violations could disproportionately impact those who have low incomes or low wages as the fines which are payable for contraventions would represent a greater proportion of their incomes.  The core principle of this proposal however is to support improvements in road safety as well as improve the efficiency of the highway network to all users and as its application is non-targeted there is limited opportunity to mitigate or eliminate the risk highlighted.   </w:t>
      </w:r>
    </w:p>
    <w:p w:rsidRPr="006A6671" w:rsidR="006A6671" w:rsidP="006A6671" w:rsidRDefault="006A6671" w14:paraId="29F3C810" w14:textId="77777777">
      <w:pPr>
        <w:ind w:left="720"/>
        <w:rPr>
          <w:rFonts w:ascii="Arial" w:hAnsi="Arial" w:cs="Arial"/>
        </w:rPr>
      </w:pPr>
      <w:r w:rsidRPr="006A6671">
        <w:rPr>
          <w:rFonts w:ascii="Arial" w:hAnsi="Arial" w:cs="Arial"/>
        </w:rPr>
        <w:t xml:space="preserve">  </w:t>
      </w:r>
    </w:p>
    <w:p w:rsidRPr="006A6671" w:rsidR="006A6671" w:rsidP="006A6671" w:rsidRDefault="006A6671" w14:paraId="5DE03603" w14:textId="084EC44A">
      <w:pPr>
        <w:ind w:left="720"/>
        <w:rPr>
          <w:rFonts w:ascii="Arial" w:hAnsi="Arial" w:cs="Arial"/>
        </w:rPr>
      </w:pPr>
      <w:r w:rsidRPr="006A6671">
        <w:rPr>
          <w:rFonts w:ascii="Arial" w:hAnsi="Arial" w:cs="Arial"/>
        </w:rPr>
        <w:t xml:space="preserve">However, through having a highway network which operates more efficiently journey time reliability for wider public transport modes (bus and taxi) will improve and therefore the opportunity to access employment will improve widening the </w:t>
      </w:r>
      <w:r w:rsidRPr="006A6671">
        <w:rPr>
          <w:rFonts w:ascii="Arial" w:hAnsi="Arial" w:cs="Arial"/>
        </w:rPr>
        <w:t xml:space="preserve">scope of jobs available to members of the protected characteristic which in turn could </w:t>
      </w:r>
      <w:proofErr w:type="gramStart"/>
      <w:r w:rsidRPr="006A6671">
        <w:rPr>
          <w:rFonts w:ascii="Arial" w:hAnsi="Arial" w:cs="Arial"/>
        </w:rPr>
        <w:t>potential</w:t>
      </w:r>
      <w:proofErr w:type="gramEnd"/>
      <w:r w:rsidRPr="006A6671">
        <w:rPr>
          <w:rFonts w:ascii="Arial" w:hAnsi="Arial" w:cs="Arial"/>
        </w:rPr>
        <w:t xml:space="preserve"> improve their income.  </w:t>
      </w:r>
    </w:p>
    <w:p w:rsidRPr="006A6671" w:rsidR="00C51AB0" w:rsidP="006A6671" w:rsidRDefault="00C51AB0" w14:paraId="54CD245A" w14:textId="77777777">
      <w:pPr>
        <w:ind w:left="720"/>
        <w:rPr>
          <w:rFonts w:ascii="Arial" w:hAnsi="Arial" w:cs="Arial"/>
        </w:rPr>
      </w:pP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30D7AA69" w14:textId="77777777">
      <w:pPr>
        <w:rPr>
          <w:rFonts w:ascii="Arial" w:hAnsi="Arial" w:cs="Arial"/>
        </w:rPr>
      </w:pPr>
    </w:p>
    <w:p w:rsidRPr="006A6671" w:rsidR="006A6671" w:rsidP="006A6671" w:rsidRDefault="006A6671" w14:paraId="7669D31F" w14:textId="5D7D8DDC">
      <w:pPr>
        <w:spacing w:after="120"/>
        <w:ind w:left="720"/>
        <w:rPr>
          <w:rFonts w:ascii="Arial" w:hAnsi="Arial" w:cs="Arial"/>
        </w:rPr>
      </w:pPr>
      <w:r w:rsidRPr="0E1353AF" w:rsidR="2B1FEEDA">
        <w:rPr>
          <w:rFonts w:ascii="Arial" w:hAnsi="Arial" w:cs="Arial"/>
        </w:rPr>
        <w:t xml:space="preserve">Implementation of this proposal will involve other services within the Department of Growth including Neighbourhoods and Clean Air and Sustainability who are best placed to undertake the back-office processing functions.  Equality impact assessments for these aspects of service delivery </w:t>
      </w:r>
      <w:r w:rsidRPr="0E1353AF" w:rsidR="2B1FEEDA">
        <w:rPr>
          <w:rFonts w:ascii="Arial" w:hAnsi="Arial" w:cs="Arial"/>
        </w:rPr>
        <w:t>are applicable</w:t>
      </w:r>
      <w:r w:rsidRPr="0E1353AF" w:rsidR="2B1FEEDA">
        <w:rPr>
          <w:rFonts w:ascii="Arial" w:hAnsi="Arial" w:cs="Arial"/>
        </w:rPr>
        <w:t xml:space="preserve"> to this proposal directly and therefore no further development of equalities assessment has been taken forward in the development of this proposal.  For consistency, at this stage, this proposal has been developed in conjunction with representatives from these services.  </w:t>
      </w:r>
    </w:p>
    <w:p w:rsidRPr="00BA5851" w:rsidR="00ED2926" w:rsidP="006A6671" w:rsidRDefault="006A6671" w14:paraId="394CA926" w14:textId="54D53DA1">
      <w:pPr>
        <w:spacing w:after="120"/>
        <w:ind w:left="720"/>
        <w:rPr>
          <w:rFonts w:ascii="Arial" w:hAnsi="Arial" w:cs="Arial"/>
        </w:rPr>
      </w:pPr>
      <w:r w:rsidRPr="006A6671">
        <w:rPr>
          <w:rFonts w:ascii="Arial" w:hAnsi="Arial" w:cs="Arial"/>
        </w:rPr>
        <w:t>Development of the extension options will require formal consultation with the public on each individual site and involve other corporate services including Legal Services in managing a statutory consultation. Corporate communications will be required to assist in ensuring that any consultation is widely publicised through a range of channels to ensure that awareness of the intention to start regular enforcement of each site is made publicly available.</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6A6671" w:rsidP="006A6671" w:rsidRDefault="006A6671" w14:paraId="1B987333" w14:textId="77777777"/>
    <w:p w:rsidRPr="006A6671" w:rsidR="006A6671" w:rsidP="006A6671" w:rsidRDefault="006A6671" w14:paraId="6DD851F0" w14:textId="6905B909">
      <w:pPr>
        <w:ind w:left="720"/>
        <w:rPr>
          <w:rFonts w:ascii="Arial" w:hAnsi="Arial" w:cs="Arial"/>
        </w:rPr>
      </w:pPr>
      <w:r w:rsidRPr="006A6671">
        <w:rPr>
          <w:rFonts w:ascii="Arial" w:hAnsi="Arial" w:cs="Arial"/>
        </w:rPr>
        <w:t xml:space="preserve">Application of policies and procedures associated with the enforcement of the Clean Air Zone and existing bus lane fines processes within the Council have been used as the basis for this assessment.  </w:t>
      </w:r>
    </w:p>
    <w:p w:rsidRPr="006A6671" w:rsidR="006A6671" w:rsidP="006A6671" w:rsidRDefault="006A6671" w14:paraId="1ECC53E8" w14:textId="77777777">
      <w:pPr>
        <w:ind w:left="720"/>
        <w:rPr>
          <w:rFonts w:ascii="Arial" w:hAnsi="Arial" w:cs="Arial"/>
        </w:rPr>
      </w:pPr>
      <w:r w:rsidRPr="006A6671">
        <w:rPr>
          <w:rFonts w:ascii="Arial" w:hAnsi="Arial" w:cs="Arial"/>
        </w:rPr>
        <w:t xml:space="preserve">  </w:t>
      </w:r>
    </w:p>
    <w:p w:rsidRPr="009E58CC" w:rsidR="00BF5064" w:rsidP="006A6671" w:rsidRDefault="006A6671" w14:paraId="3A96DCBC" w14:textId="1FBBBE87">
      <w:pPr>
        <w:ind w:left="720"/>
        <w:rPr>
          <w:rFonts w:ascii="Arial" w:hAnsi="Arial" w:cs="Arial"/>
        </w:rPr>
      </w:pPr>
      <w:r w:rsidRPr="006A6671">
        <w:rPr>
          <w:rFonts w:ascii="Arial" w:hAnsi="Arial" w:cs="Arial"/>
        </w:rPr>
        <w:t xml:space="preserve">The initial pilot scheme for implementation of enforcement of moving traffic offences carried out consultation on a tranche of four initial sites (as required under legislation).  A total of 712 comments were received regarding the intention of the Council to start enforcement with 32% of the comments received being against introduction of measures as proposed. </w:t>
      </w:r>
      <w:proofErr w:type="gramStart"/>
      <w:r w:rsidRPr="006A6671">
        <w:rPr>
          <w:rFonts w:ascii="Arial" w:hAnsi="Arial" w:cs="Arial"/>
        </w:rPr>
        <w:t>The majority of</w:t>
      </w:r>
      <w:proofErr w:type="gramEnd"/>
      <w:r w:rsidRPr="006A6671">
        <w:rPr>
          <w:rFonts w:ascii="Arial" w:hAnsi="Arial" w:cs="Arial"/>
        </w:rPr>
        <w:t xml:space="preserve"> responses 68% were in favour of the proposals or thought that the measures proposed did not go far enough to address the issue. </w:t>
      </w:r>
    </w:p>
    <w:p w:rsidR="004011A5" w:rsidP="000705A4" w:rsidRDefault="004011A5" w14:paraId="6D072C0D" w14:textId="77777777">
      <w:pPr>
        <w:rPr>
          <w:rFonts w:ascii="Arial" w:hAnsi="Arial" w:cs="Arial"/>
        </w:rPr>
      </w:pP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B87831" w:rsidP="006A6671" w:rsidRDefault="006A6671" w14:paraId="238601FE" w14:textId="6E9FFE18">
      <w:pPr>
        <w:ind w:left="720"/>
        <w:rPr>
          <w:rFonts w:ascii="Arial" w:hAnsi="Arial" w:cs="Arial"/>
        </w:rPr>
      </w:pPr>
      <w:r w:rsidRPr="006A6671">
        <w:rPr>
          <w:rFonts w:ascii="Arial" w:hAnsi="Arial" w:cs="Arial"/>
        </w:rPr>
        <w:t xml:space="preserve">No, not </w:t>
      </w:r>
      <w:proofErr w:type="gramStart"/>
      <w:r w:rsidRPr="006A6671">
        <w:rPr>
          <w:rFonts w:ascii="Arial" w:hAnsi="Arial" w:cs="Arial"/>
        </w:rPr>
        <w:t>at this time</w:t>
      </w:r>
      <w:proofErr w:type="gramEnd"/>
      <w:r w:rsidRPr="006A6671">
        <w:rPr>
          <w:rFonts w:ascii="Arial" w:hAnsi="Arial" w:cs="Arial"/>
        </w:rPr>
        <w:t xml:space="preserve">.  As each potential site will be subject to its own consultation exercise the opportunity to review this EQIA will be </w:t>
      </w:r>
      <w:proofErr w:type="gramStart"/>
      <w:r w:rsidRPr="006A6671">
        <w:rPr>
          <w:rFonts w:ascii="Arial" w:hAnsi="Arial" w:cs="Arial"/>
        </w:rPr>
        <w:t>taken into account</w:t>
      </w:r>
      <w:proofErr w:type="gramEnd"/>
      <w:r w:rsidRPr="006A6671">
        <w:rPr>
          <w:rFonts w:ascii="Arial" w:hAnsi="Arial" w:cs="Arial"/>
        </w:rPr>
        <w:t xml:space="preserve"> as responses are collated and assessed.   </w:t>
      </w: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00C34233" w:rsidP="7A8F9F5E" w:rsidRDefault="00C34233" w14:paraId="16DEB4AB" w14:textId="6067516F">
      <w:pPr>
        <w:pStyle w:val="Normal"/>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1"/>
      <w:bookmarkStart w:name="OLE_LINK2" w:id="2"/>
    </w:p>
    <w:p w:rsidR="004011A5" w:rsidP="006A6671" w:rsidRDefault="006A6671" w14:paraId="4B1F511A" w14:textId="2728B3A0">
      <w:pPr>
        <w:ind w:left="720"/>
        <w:rPr>
          <w:rFonts w:ascii="Arial" w:hAnsi="Arial" w:cs="Arial"/>
        </w:rPr>
      </w:pPr>
      <w:r w:rsidRPr="006A6671">
        <w:rPr>
          <w:rFonts w:ascii="Arial" w:hAnsi="Arial" w:cs="Arial"/>
        </w:rPr>
        <w:t>Public consultations on the pilot implementation project were carried out in late 2022 on four sites on an individual basis which was required under the implementation legislation.   </w:t>
      </w: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DE56FE" w:rsidP="009E58CC" w:rsidRDefault="006A6671" w14:paraId="2EC7BAA2" w14:textId="02FDB1A7">
      <w:pPr>
        <w:ind w:left="720"/>
        <w:rPr>
          <w:rFonts w:ascii="Arial" w:hAnsi="Arial" w:cs="Arial"/>
        </w:rPr>
      </w:pPr>
      <w:r w:rsidRPr="006A6671">
        <w:rPr>
          <w:rFonts w:ascii="Arial" w:hAnsi="Arial" w:cs="Arial"/>
        </w:rPr>
        <w:t xml:space="preserve">As described above, the initial pilot implementation carried out a public consultation on proposals for four sites around Bradford city centre.  The consultation resulted in 712 comments being received about the proposals with the majority of these (68%) being in favour of the measures </w:t>
      </w:r>
      <w:proofErr w:type="gramStart"/>
      <w:r w:rsidRPr="006A6671">
        <w:rPr>
          <w:rFonts w:ascii="Arial" w:hAnsi="Arial" w:cs="Arial"/>
        </w:rPr>
        <w:t>proposed, or</w:t>
      </w:r>
      <w:proofErr w:type="gramEnd"/>
      <w:r w:rsidRPr="006A6671">
        <w:rPr>
          <w:rFonts w:ascii="Arial" w:hAnsi="Arial" w:cs="Arial"/>
        </w:rPr>
        <w:t xml:space="preserve"> commenting that the proposals did not go far enough to address the issues at the location. </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1"/>
    <w:bookmarkEnd w:id="2"/>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6A6671" w:rsidP="009E58CC" w:rsidRDefault="006A6671" w14:paraId="52EA9C84" w14:textId="77777777">
      <w:pPr>
        <w:ind w:left="720"/>
        <w:rPr>
          <w:rFonts w:ascii="Arial" w:hAnsi="Arial" w:cs="Arial"/>
        </w:rPr>
      </w:pPr>
    </w:p>
    <w:p w:rsidR="00C40B01" w:rsidP="009E58CC" w:rsidRDefault="006A6671" w14:paraId="2C582F97" w14:textId="7FC54801">
      <w:pPr>
        <w:ind w:left="720"/>
        <w:rPr>
          <w:rFonts w:ascii="Arial" w:hAnsi="Arial" w:cs="Arial"/>
        </w:rPr>
      </w:pPr>
      <w:r>
        <w:rPr>
          <w:rFonts w:ascii="Arial" w:hAnsi="Arial" w:cs="Arial"/>
        </w:rPr>
        <w:t>Not Applicable</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proofErr w:type="gramStart"/>
      <w:r w:rsidRPr="005E7DC8" w:rsidR="0030130F">
        <w:rPr>
          <w:rFonts w:ascii="Arial" w:hAnsi="Arial" w:cs="Arial"/>
          <w:b/>
          <w:color w:val="000080"/>
        </w:rPr>
        <w:t>as a result of</w:t>
      </w:r>
      <w:proofErr w:type="gramEnd"/>
      <w:r w:rsidRPr="005E7DC8" w:rsidR="0030130F">
        <w:rPr>
          <w:rFonts w:ascii="Arial" w:hAnsi="Arial" w:cs="Arial"/>
          <w:b/>
          <w:color w:val="000080"/>
        </w:rPr>
        <w:t xml:space="preserve">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006A6671" w:rsidP="006A6671" w:rsidRDefault="006A6671" w14:paraId="104ABD11" w14:textId="7B97CC43">
      <w:pPr>
        <w:ind w:left="720"/>
        <w:rPr>
          <w:rFonts w:ascii="Arial" w:hAnsi="Arial" w:cs="Arial"/>
        </w:rPr>
      </w:pPr>
      <w:r>
        <w:rPr>
          <w:rFonts w:ascii="Arial" w:hAnsi="Arial" w:cs="Arial"/>
        </w:rPr>
        <w:t>Not Applicable</w:t>
      </w:r>
    </w:p>
    <w:p w:rsidRPr="009E58CC" w:rsidR="00607D1D" w:rsidP="00A03015" w:rsidRDefault="00607D1D" w14:paraId="16745F15" w14:textId="1E43F41E">
      <w:pPr>
        <w:ind w:left="720"/>
        <w:rPr>
          <w:rFonts w:ascii="Arial" w:hAnsi="Arial" w:cs="Arial"/>
        </w:rPr>
      </w:pP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232B" w:rsidRDefault="0035232B" w14:paraId="2296544C" w14:textId="77777777">
      <w:r>
        <w:separator/>
      </w:r>
    </w:p>
  </w:endnote>
  <w:endnote w:type="continuationSeparator" w:id="0">
    <w:p w:rsidR="0035232B" w:rsidRDefault="0035232B" w14:paraId="58B630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A9F1CEB">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396DC2B">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7DEC583">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232B" w:rsidRDefault="0035232B" w14:paraId="5CFBC4D7" w14:textId="77777777">
      <w:r>
        <w:separator/>
      </w:r>
    </w:p>
  </w:footnote>
  <w:footnote w:type="continuationSeparator" w:id="0">
    <w:p w:rsidR="0035232B" w:rsidRDefault="0035232B" w14:paraId="49F5756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754C196A">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25DE67F6">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FD9683D">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6323C"/>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446E4"/>
    <w:rsid w:val="0035232B"/>
    <w:rsid w:val="00353ADE"/>
    <w:rsid w:val="0036343A"/>
    <w:rsid w:val="003641CD"/>
    <w:rsid w:val="003809F0"/>
    <w:rsid w:val="0038543D"/>
    <w:rsid w:val="003D736E"/>
    <w:rsid w:val="003D7800"/>
    <w:rsid w:val="003E6A98"/>
    <w:rsid w:val="003F38AC"/>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A6671"/>
    <w:rsid w:val="006B48F1"/>
    <w:rsid w:val="006E0E9A"/>
    <w:rsid w:val="006E2024"/>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B5123"/>
    <w:rsid w:val="00CE5FC0"/>
    <w:rsid w:val="00CF1EC6"/>
    <w:rsid w:val="00D24130"/>
    <w:rsid w:val="00D81901"/>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E1353AF"/>
    <w:rsid w:val="245B0AAD"/>
    <w:rsid w:val="29FDC93B"/>
    <w:rsid w:val="2B1FEEDA"/>
    <w:rsid w:val="3597EC35"/>
    <w:rsid w:val="36B13331"/>
    <w:rsid w:val="386CE774"/>
    <w:rsid w:val="42D8A4F4"/>
    <w:rsid w:val="46E54EFF"/>
    <w:rsid w:val="4832028D"/>
    <w:rsid w:val="4BE243DB"/>
    <w:rsid w:val="4D8E716E"/>
    <w:rsid w:val="51C4DBD4"/>
    <w:rsid w:val="6B06EB91"/>
    <w:rsid w:val="6CD62797"/>
    <w:rsid w:val="726C9DFB"/>
    <w:rsid w:val="77509EFB"/>
    <w:rsid w:val="795CC926"/>
    <w:rsid w:val="7A8F9F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3.xml><?xml version="1.0" encoding="utf-8"?>
<ds:datastoreItem xmlns:ds="http://schemas.openxmlformats.org/officeDocument/2006/customXml" ds:itemID="{459143E4-D0FD-4547-BCF9-16B025067A47}"/>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6</revision>
  <lastPrinted>2013-11-26T23:40:00.0000000Z</lastPrinted>
  <dcterms:created xsi:type="dcterms:W3CDTF">2026-08-28T09:57:00.0000000Z</dcterms:created>
  <dcterms:modified xsi:type="dcterms:W3CDTF">2026-10-26T16:48:06.7484441Z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